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溆浦县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eastAsia="zh-CN"/>
        </w:rPr>
        <w:t>建设工程质量安全监督站</w:t>
      </w:r>
    </w:p>
    <w:p>
      <w:pPr>
        <w:spacing w:line="640" w:lineRule="exact"/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202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2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年整体支出绩效自评报告</w:t>
      </w:r>
    </w:p>
    <w:p>
      <w:pPr>
        <w:spacing w:line="580" w:lineRule="exact"/>
        <w:ind w:firstLine="640" w:firstLineChars="200"/>
        <w:rPr>
          <w:rFonts w:ascii="华文仿宋" w:hAnsi="华文仿宋" w:eastAsia="华文仿宋" w:cs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华文仿宋" w:hAnsi="华文仿宋" w:eastAsia="华文仿宋" w:cs="仿宋_GB2312"/>
          <w:sz w:val="32"/>
          <w:szCs w:val="32"/>
        </w:rPr>
      </w:pPr>
      <w:r>
        <w:rPr>
          <w:rFonts w:hint="eastAsia" w:ascii="华文仿宋" w:hAnsi="华文仿宋" w:eastAsia="华文仿宋" w:cs="仿宋_GB2312"/>
          <w:sz w:val="32"/>
          <w:szCs w:val="32"/>
        </w:rPr>
        <w:t>根据县财政局《关于开展202</w:t>
      </w:r>
      <w:r>
        <w:rPr>
          <w:rFonts w:hint="eastAsia" w:ascii="华文仿宋" w:hAnsi="华文仿宋" w:eastAsia="华文仿宋" w:cs="仿宋_GB2312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仿宋_GB2312"/>
          <w:sz w:val="32"/>
          <w:szCs w:val="32"/>
        </w:rPr>
        <w:t>年部门整体支出绩效评价工作的通知》精神，我</w:t>
      </w:r>
      <w:r>
        <w:rPr>
          <w:rFonts w:hint="eastAsia" w:ascii="华文仿宋" w:hAnsi="华文仿宋" w:eastAsia="华文仿宋" w:cs="仿宋_GB2312"/>
          <w:sz w:val="32"/>
          <w:szCs w:val="32"/>
          <w:lang w:eastAsia="zh-CN"/>
        </w:rPr>
        <w:t>站</w:t>
      </w:r>
      <w:r>
        <w:rPr>
          <w:rFonts w:hint="eastAsia" w:ascii="华文仿宋" w:hAnsi="华文仿宋" w:eastAsia="华文仿宋" w:cs="仿宋_GB2312"/>
          <w:sz w:val="32"/>
          <w:szCs w:val="32"/>
        </w:rPr>
        <w:t>对202</w:t>
      </w:r>
      <w:r>
        <w:rPr>
          <w:rFonts w:hint="eastAsia" w:ascii="华文仿宋" w:hAnsi="华文仿宋" w:eastAsia="华文仿宋" w:cs="仿宋_GB2312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仿宋_GB2312"/>
          <w:sz w:val="32"/>
          <w:szCs w:val="32"/>
        </w:rPr>
        <w:t>年度部门整体支出进行了全面的综合评价，现将有关情况汇报如下：</w:t>
      </w:r>
    </w:p>
    <w:p>
      <w:pPr>
        <w:shd w:val="clear" w:color="auto" w:fill="FFFFFF"/>
        <w:spacing w:line="640" w:lineRule="exact"/>
        <w:ind w:firstLine="640"/>
        <w:rPr>
          <w:rFonts w:ascii="黑体" w:hAnsi="黑体" w:eastAsia="黑体"/>
          <w:spacing w:val="-2"/>
          <w:sz w:val="32"/>
          <w:szCs w:val="32"/>
        </w:rPr>
      </w:pPr>
      <w:r>
        <w:rPr>
          <w:rFonts w:hint="eastAsia" w:ascii="华文仿宋" w:hAnsi="华文仿宋" w:eastAsia="华文仿宋" w:cs="黑体"/>
          <w:b/>
          <w:sz w:val="32"/>
          <w:szCs w:val="32"/>
        </w:rPr>
        <w:t>一、部门概况</w:t>
      </w:r>
    </w:p>
    <w:p>
      <w:pPr>
        <w:shd w:val="clear" w:color="auto" w:fill="FFFFFF"/>
        <w:spacing w:line="640" w:lineRule="exact"/>
        <w:ind w:firstLine="640"/>
        <w:rPr>
          <w:rFonts w:ascii="华文仿宋" w:hAnsi="华文仿宋" w:eastAsia="华文仿宋"/>
          <w:spacing w:val="-2"/>
          <w:sz w:val="32"/>
          <w:szCs w:val="21"/>
        </w:rPr>
      </w:pPr>
      <w:r>
        <w:rPr>
          <w:rFonts w:hint="eastAsia" w:ascii="华文仿宋" w:hAnsi="华文仿宋" w:eastAsia="华文仿宋"/>
          <w:spacing w:val="-2"/>
          <w:sz w:val="32"/>
          <w:szCs w:val="32"/>
        </w:rPr>
        <w:t>（一）部门基本情况</w:t>
      </w:r>
    </w:p>
    <w:p>
      <w:pPr>
        <w:widowControl/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本单位</w:t>
      </w:r>
      <w:r>
        <w:rPr>
          <w:rFonts w:hint="eastAsia" w:ascii="仿宋" w:hAnsi="仿宋" w:eastAsia="仿宋"/>
          <w:kern w:val="0"/>
          <w:sz w:val="32"/>
          <w:szCs w:val="32"/>
          <w:lang w:eastAsia="zh-CN"/>
        </w:rPr>
        <w:t>属于</w:t>
      </w:r>
      <w:r>
        <w:rPr>
          <w:rFonts w:hint="eastAsia" w:ascii="仿宋" w:hAnsi="仿宋" w:eastAsia="仿宋"/>
          <w:kern w:val="0"/>
          <w:sz w:val="32"/>
          <w:szCs w:val="32"/>
        </w:rPr>
        <w:t>独立核算的二级机构，</w:t>
      </w:r>
      <w:r>
        <w:rPr>
          <w:rFonts w:hint="eastAsia" w:ascii="仿宋" w:hAnsi="仿宋" w:eastAsia="仿宋"/>
          <w:sz w:val="32"/>
          <w:szCs w:val="32"/>
        </w:rPr>
        <w:t>我</w:t>
      </w:r>
      <w:r>
        <w:rPr>
          <w:rFonts w:hint="eastAsia" w:ascii="仿宋" w:hAnsi="仿宋" w:eastAsia="仿宋"/>
          <w:sz w:val="32"/>
          <w:szCs w:val="32"/>
          <w:lang w:eastAsia="zh-CN"/>
        </w:rPr>
        <w:t>站</w:t>
      </w:r>
      <w:r>
        <w:rPr>
          <w:rFonts w:hint="eastAsia" w:ascii="仿宋" w:hAnsi="仿宋" w:eastAsia="仿宋"/>
          <w:sz w:val="32"/>
          <w:szCs w:val="32"/>
        </w:rPr>
        <w:t>预算管理级次为</w:t>
      </w:r>
      <w:r>
        <w:rPr>
          <w:rFonts w:hint="eastAsia" w:ascii="仿宋" w:hAnsi="仿宋" w:eastAsia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/>
          <w:sz w:val="32"/>
          <w:szCs w:val="32"/>
        </w:rPr>
        <w:t>级，执行</w:t>
      </w:r>
      <w:r>
        <w:rPr>
          <w:rFonts w:hint="eastAsia" w:ascii="仿宋" w:hAnsi="仿宋" w:eastAsia="仿宋"/>
          <w:sz w:val="32"/>
          <w:szCs w:val="32"/>
          <w:lang w:eastAsia="zh-CN"/>
        </w:rPr>
        <w:t>事业</w:t>
      </w:r>
      <w:r>
        <w:rPr>
          <w:rFonts w:hint="eastAsia" w:ascii="仿宋" w:hAnsi="仿宋" w:eastAsia="仿宋"/>
          <w:sz w:val="32"/>
          <w:szCs w:val="32"/>
        </w:rPr>
        <w:t>单位会计管理制度，报表为连续上报单户表</w:t>
      </w:r>
      <w:r>
        <w:rPr>
          <w:rFonts w:hint="eastAsia" w:ascii="仿宋" w:hAnsi="仿宋" w:eastAsia="仿宋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ind w:left="160" w:leftChars="76" w:firstLine="480" w:firstLineChars="15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本单位是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事业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单位，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属住建局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二级单位，</w:t>
      </w:r>
      <w:r>
        <w:rPr>
          <w:rFonts w:hint="eastAsia" w:ascii="仿宋" w:hAnsi="仿宋" w:eastAsia="仿宋" w:cs="宋体"/>
          <w:kern w:val="0"/>
          <w:sz w:val="32"/>
          <w:szCs w:val="32"/>
        </w:rPr>
        <w:t>我</w:t>
      </w:r>
      <w:r>
        <w:rPr>
          <w:rFonts w:hint="eastAsia" w:ascii="仿宋" w:hAnsi="仿宋" w:eastAsia="仿宋" w:cs="宋体"/>
          <w:kern w:val="0"/>
          <w:sz w:val="32"/>
          <w:szCs w:val="32"/>
          <w:lang w:eastAsia="zh-CN"/>
        </w:rPr>
        <w:t>质监站</w:t>
      </w:r>
      <w:r>
        <w:rPr>
          <w:rFonts w:hint="eastAsia" w:ascii="仿宋" w:hAnsi="仿宋" w:eastAsia="仿宋" w:cs="宋体"/>
          <w:kern w:val="0"/>
          <w:sz w:val="32"/>
          <w:szCs w:val="32"/>
        </w:rPr>
        <w:t>在职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49</w:t>
      </w:r>
      <w:r>
        <w:rPr>
          <w:rFonts w:hint="eastAsia" w:ascii="仿宋" w:hAnsi="仿宋" w:eastAsia="仿宋" w:cs="宋体"/>
          <w:kern w:val="0"/>
          <w:sz w:val="32"/>
          <w:szCs w:val="32"/>
        </w:rPr>
        <w:t>人，退休人员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32"/>
          <w:szCs w:val="32"/>
        </w:rPr>
        <w:t>人，共计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54</w:t>
      </w:r>
      <w:r>
        <w:rPr>
          <w:rFonts w:hint="eastAsia" w:ascii="仿宋" w:hAnsi="仿宋" w:eastAsia="仿宋" w:cs="宋体"/>
          <w:kern w:val="0"/>
          <w:sz w:val="32"/>
          <w:szCs w:val="32"/>
        </w:rPr>
        <w:t>人。</w:t>
      </w:r>
    </w:p>
    <w:p>
      <w:pPr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职能职责。</w:t>
      </w:r>
      <w:r>
        <w:rPr>
          <w:rFonts w:hint="eastAsia" w:ascii="仿宋" w:hAnsi="仿宋" w:eastAsia="仿宋"/>
          <w:sz w:val="32"/>
          <w:szCs w:val="32"/>
          <w:lang w:eastAsia="zh-CN"/>
        </w:rPr>
        <w:t>贯彻国家和省有关建设工程质量安全方面的法律、法规、规范、标准；对建设、勘察、设计、施工、监理、检测等单位履行质量安全行为实施监督；巡查、抽查建设工程实体质量安全。</w:t>
      </w:r>
    </w:p>
    <w:p>
      <w:pPr>
        <w:shd w:val="clear" w:color="auto" w:fill="FFFFFF"/>
        <w:ind w:firstLine="640"/>
        <w:rPr>
          <w:rFonts w:hint="eastAsia" w:ascii="华文仿宋" w:hAnsi="华文仿宋" w:eastAsia="华文仿宋"/>
          <w:spacing w:val="-2"/>
          <w:sz w:val="32"/>
          <w:szCs w:val="32"/>
          <w:lang w:eastAsia="zh-CN"/>
        </w:rPr>
      </w:pPr>
      <w:r>
        <w:rPr>
          <w:rFonts w:hint="eastAsia" w:ascii="华文仿宋" w:hAnsi="华文仿宋" w:eastAsia="华文仿宋"/>
          <w:spacing w:val="-2"/>
          <w:sz w:val="32"/>
          <w:szCs w:val="32"/>
        </w:rPr>
        <w:t>（二）部门整体支出</w:t>
      </w:r>
      <w:r>
        <w:rPr>
          <w:rFonts w:hint="eastAsia" w:ascii="华文仿宋" w:hAnsi="华文仿宋" w:eastAsia="华文仿宋"/>
          <w:spacing w:val="-2"/>
          <w:sz w:val="32"/>
          <w:szCs w:val="32"/>
          <w:lang w:eastAsia="zh-CN"/>
        </w:rPr>
        <w:t>情况</w:t>
      </w:r>
    </w:p>
    <w:p>
      <w:pPr>
        <w:widowControl/>
        <w:shd w:val="clear" w:color="auto" w:fill="FFFFFF"/>
        <w:ind w:firstLine="632" w:firstLineChars="200"/>
        <w:jc w:val="left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华文仿宋" w:hAnsi="华文仿宋" w:eastAsia="华文仿宋"/>
          <w:spacing w:val="-2"/>
          <w:sz w:val="32"/>
          <w:szCs w:val="32"/>
          <w:lang w:eastAsia="zh-CN"/>
        </w:rPr>
        <w:t>单位整体支出</w:t>
      </w:r>
      <w:r>
        <w:rPr>
          <w:rFonts w:hint="eastAsia" w:ascii="华文仿宋" w:hAnsi="华文仿宋" w:eastAsia="华文仿宋"/>
          <w:spacing w:val="-2"/>
          <w:sz w:val="32"/>
          <w:szCs w:val="32"/>
          <w:lang w:val="en-US" w:eastAsia="zh-CN"/>
        </w:rPr>
        <w:t xml:space="preserve">845.43万元，其中工资福利支出666.97万元，商品服务支出164.5万元，对个人和家庭补助4.75万元，其它支出9.21万元。                                               </w:t>
      </w:r>
      <w:r>
        <w:rPr>
          <w:rFonts w:hint="eastAsia" w:ascii="华文仿宋" w:hAnsi="华文仿宋" w:eastAsia="华文仿宋" w:cs="仿宋_GB2312"/>
          <w:sz w:val="32"/>
          <w:szCs w:val="32"/>
        </w:rPr>
        <w:t>202</w:t>
      </w:r>
      <w:r>
        <w:rPr>
          <w:rFonts w:hint="eastAsia" w:ascii="华文仿宋" w:hAnsi="华文仿宋" w:eastAsia="华文仿宋" w:cs="仿宋_GB2312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仿宋_GB2312"/>
          <w:sz w:val="32"/>
          <w:szCs w:val="32"/>
        </w:rPr>
        <w:t>年本单</w:t>
      </w:r>
      <w:r>
        <w:rPr>
          <w:rFonts w:hint="eastAsia" w:ascii="仿宋" w:hAnsi="仿宋" w:eastAsia="仿宋" w:cs="仿宋_GB2312"/>
          <w:sz w:val="32"/>
          <w:szCs w:val="32"/>
        </w:rPr>
        <w:t>位编制了部门整体支出绩效目标表部门整体支出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目标：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1、保证人员经费，单位的正常运转。</w:t>
      </w:r>
    </w:p>
    <w:p>
      <w:pPr>
        <w:ind w:firstLine="640" w:firstLineChars="200"/>
        <w:rPr>
          <w:rFonts w:hint="eastAsia"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</w:rPr>
        <w:t>2、监督和管理全县建筑活动。</w:t>
      </w: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</w:pP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 w:val="32"/>
          <w:szCs w:val="32"/>
        </w:rPr>
        <w:t>、完成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建设局</w:t>
      </w:r>
      <w:r>
        <w:rPr>
          <w:rFonts w:hint="eastAsia" w:ascii="华文仿宋" w:hAnsi="华文仿宋" w:eastAsia="华文仿宋"/>
          <w:sz w:val="32"/>
          <w:szCs w:val="32"/>
        </w:rPr>
        <w:t>交办的其他任务。</w:t>
      </w:r>
    </w:p>
    <w:p>
      <w:pPr>
        <w:shd w:val="clear" w:color="auto" w:fill="FFFFFF"/>
        <w:spacing w:line="640" w:lineRule="exact"/>
        <w:ind w:firstLine="640"/>
        <w:rPr>
          <w:rFonts w:ascii="黑体" w:hAnsi="黑体" w:eastAsia="黑体"/>
          <w:spacing w:val="-2"/>
          <w:sz w:val="32"/>
          <w:szCs w:val="32"/>
        </w:rPr>
      </w:pPr>
      <w:r>
        <w:rPr>
          <w:rFonts w:hint="eastAsia" w:ascii="华文仿宋" w:hAnsi="华文仿宋" w:eastAsia="华文仿宋" w:cs="黑体"/>
          <w:b/>
          <w:sz w:val="32"/>
          <w:szCs w:val="32"/>
        </w:rPr>
        <w:t>二、部门整体支出管理及使用情况</w:t>
      </w:r>
    </w:p>
    <w:p>
      <w:pPr>
        <w:spacing w:line="610" w:lineRule="exact"/>
        <w:ind w:firstLine="640" w:firstLineChars="200"/>
        <w:rPr>
          <w:rFonts w:hint="eastAsia" w:ascii="华文仿宋" w:hAnsi="华文仿宋" w:eastAsia="华文仿宋" w:cs="仿宋_GB2312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基本支出</w:t>
      </w:r>
      <w:r>
        <w:rPr>
          <w:rFonts w:hint="eastAsia" w:ascii="华文仿宋" w:hAnsi="华文仿宋" w:eastAsia="华文仿宋" w:cs="仿宋_GB2312"/>
          <w:color w:val="auto"/>
          <w:kern w:val="0"/>
          <w:sz w:val="32"/>
          <w:szCs w:val="32"/>
          <w:lang w:val="en-US" w:eastAsia="zh-CN"/>
        </w:rPr>
        <w:t>845.43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万元，占比</w:t>
      </w:r>
      <w:r>
        <w:rPr>
          <w:rFonts w:hint="eastAsia" w:ascii="华文仿宋" w:hAnsi="华文仿宋" w:eastAsia="华文仿宋" w:cs="仿宋_GB2312"/>
          <w:color w:val="auto"/>
          <w:kern w:val="0"/>
          <w:sz w:val="32"/>
          <w:szCs w:val="32"/>
          <w:lang w:val="en-US" w:eastAsia="zh-CN"/>
        </w:rPr>
        <w:t>100%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。①工资福利支出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666.97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万元，占比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78.9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%，比上年增加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,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主要是工资上调。②商品服务支出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164.5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万元，占比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19.5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%，比上年增加。其中办公费1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5.8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万元、印刷费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11.3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万元、电费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1.42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万元、邮电费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3.71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万元、差旅费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89.71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万元、维修费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6.28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万元、租赁费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0.72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eastAsia="zh-CN"/>
        </w:rPr>
        <w:t>培训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1.23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万元、劳务费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7.28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万元、工会费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4.46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万元、福利费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13.28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万元、其他交通运输费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万元、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eastAsia="zh-CN"/>
        </w:rPr>
        <w:t>税金及附加费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2.45万元、乡村振兴费0.65万元、党建支出0.09万元、广告宣传费1.64万元、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其他商品和服务费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1.48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万元。（3）对个人和家庭的补助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4.75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万元，占比0.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%，（4）办公设备购置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9.21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万元，占比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.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1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%。</w:t>
      </w:r>
    </w:p>
    <w:p>
      <w:pPr>
        <w:spacing w:line="610" w:lineRule="exact"/>
        <w:ind w:firstLine="640" w:firstLineChars="200"/>
        <w:rPr>
          <w:rFonts w:hint="eastAsia" w:ascii="华文仿宋" w:hAnsi="华文仿宋" w:eastAsia="华文仿宋" w:cs="仿宋_GB2312"/>
          <w:kern w:val="0"/>
          <w:sz w:val="32"/>
          <w:szCs w:val="32"/>
          <w:lang w:eastAsia="zh-CN"/>
        </w:rPr>
      </w:pPr>
      <w:r>
        <w:rPr>
          <w:rFonts w:hint="eastAsia" w:ascii="华文仿宋" w:hAnsi="华文仿宋" w:eastAsia="华文仿宋" w:cs="仿宋_GB2312"/>
          <w:kern w:val="0"/>
          <w:sz w:val="32"/>
          <w:szCs w:val="32"/>
          <w:lang w:eastAsia="zh-CN"/>
        </w:rPr>
        <w:t>单位无专项支出</w:t>
      </w:r>
    </w:p>
    <w:p>
      <w:pPr>
        <w:shd w:val="clear" w:color="auto" w:fill="FFFFFF"/>
        <w:spacing w:line="640" w:lineRule="exact"/>
        <w:ind w:firstLine="640"/>
        <w:rPr>
          <w:rFonts w:ascii="仿宋_GB2312" w:hAnsi="仿宋" w:eastAsia="仿宋_GB2312"/>
          <w:spacing w:val="-2"/>
          <w:sz w:val="32"/>
          <w:szCs w:val="21"/>
        </w:rPr>
      </w:pPr>
      <w:r>
        <w:rPr>
          <w:rFonts w:hint="eastAsia" w:ascii="华文仿宋" w:hAnsi="华文仿宋" w:eastAsia="华文仿宋" w:cs="黑体"/>
          <w:b/>
          <w:sz w:val="32"/>
          <w:szCs w:val="32"/>
          <w:lang w:eastAsia="zh-CN"/>
        </w:rPr>
        <w:t>三</w:t>
      </w:r>
      <w:r>
        <w:rPr>
          <w:rFonts w:hint="eastAsia" w:ascii="华文仿宋" w:hAnsi="华文仿宋" w:eastAsia="华文仿宋" w:cs="黑体"/>
          <w:b/>
          <w:sz w:val="32"/>
          <w:szCs w:val="32"/>
        </w:rPr>
        <w:t>、资产管理情况</w:t>
      </w:r>
    </w:p>
    <w:p>
      <w:pPr>
        <w:overflowPunct w:val="0"/>
        <w:spacing w:line="580" w:lineRule="exact"/>
        <w:ind w:firstLine="640" w:firstLineChars="200"/>
        <w:rPr>
          <w:rFonts w:ascii="华文仿宋" w:hAnsi="华文仿宋" w:eastAsia="华文仿宋" w:cs="仿宋_GB2312"/>
          <w:sz w:val="32"/>
          <w:szCs w:val="32"/>
        </w:rPr>
      </w:pPr>
      <w:r>
        <w:rPr>
          <w:rFonts w:hint="eastAsia" w:ascii="华文仿宋" w:hAnsi="华文仿宋" w:eastAsia="华文仿宋" w:cs="仿宋_GB2312"/>
          <w:sz w:val="32"/>
          <w:szCs w:val="32"/>
        </w:rPr>
        <w:t>固定资产</w:t>
      </w:r>
      <w:r>
        <w:rPr>
          <w:rFonts w:hint="eastAsia" w:ascii="华文仿宋" w:hAnsi="华文仿宋" w:eastAsia="华文仿宋" w:cs="仿宋_GB2312"/>
          <w:sz w:val="32"/>
          <w:szCs w:val="32"/>
          <w:lang w:val="en-US" w:eastAsia="zh-CN"/>
        </w:rPr>
        <w:t>125.56</w:t>
      </w:r>
      <w:r>
        <w:rPr>
          <w:rFonts w:hint="eastAsia" w:ascii="华文仿宋" w:hAnsi="华文仿宋" w:eastAsia="华文仿宋" w:cs="仿宋_GB2312"/>
          <w:sz w:val="32"/>
          <w:szCs w:val="32"/>
        </w:rPr>
        <w:t>万元，已全部清理登记在册，安排专人管理，确保国有资产的不流失和使用效益，损坏、丢失、报废按制度处置。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单位固定资产包括房屋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2.62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万元，通用设备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39.79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万元，专用设备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75.41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万元，家具及用具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7.75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万元，</w:t>
      </w:r>
      <w:r>
        <w:rPr>
          <w:rFonts w:hint="eastAsia" w:ascii="华文仿宋" w:hAnsi="华文仿宋" w:eastAsia="华文仿宋" w:cs="仿宋_GB2312"/>
          <w:bCs/>
          <w:kern w:val="0"/>
          <w:sz w:val="32"/>
          <w:szCs w:val="32"/>
        </w:rPr>
        <w:t>本部门固定资产全部由局本级统一管理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。</w:t>
      </w:r>
    </w:p>
    <w:p>
      <w:pPr>
        <w:spacing w:line="600" w:lineRule="exact"/>
        <w:ind w:firstLine="630" w:firstLineChars="196"/>
        <w:rPr>
          <w:rFonts w:ascii="华文仿宋" w:hAnsi="华文仿宋" w:eastAsia="华文仿宋" w:cs="黑体"/>
          <w:b/>
          <w:sz w:val="32"/>
          <w:szCs w:val="32"/>
        </w:rPr>
      </w:pPr>
      <w:r>
        <w:rPr>
          <w:rFonts w:hint="eastAsia" w:ascii="华文仿宋" w:hAnsi="华文仿宋" w:eastAsia="华文仿宋" w:cs="黑体"/>
          <w:b/>
          <w:sz w:val="32"/>
          <w:szCs w:val="32"/>
          <w:lang w:eastAsia="zh-CN"/>
        </w:rPr>
        <w:t>四</w:t>
      </w:r>
      <w:r>
        <w:rPr>
          <w:rFonts w:hint="eastAsia" w:ascii="华文仿宋" w:hAnsi="华文仿宋" w:eastAsia="华文仿宋" w:cs="黑体"/>
          <w:b/>
          <w:sz w:val="32"/>
          <w:szCs w:val="32"/>
        </w:rPr>
        <w:t>、部门整体支出绩效情况分析</w:t>
      </w:r>
    </w:p>
    <w:p>
      <w:pPr>
        <w:overflowPunct w:val="0"/>
        <w:spacing w:line="580" w:lineRule="exact"/>
        <w:ind w:firstLine="640" w:firstLineChars="200"/>
        <w:rPr>
          <w:rFonts w:ascii="华文仿宋" w:hAnsi="华文仿宋" w:eastAsia="华文仿宋" w:cs="仿宋_GB2312"/>
          <w:kern w:val="0"/>
          <w:sz w:val="32"/>
          <w:szCs w:val="32"/>
        </w:rPr>
      </w:pP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202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年，根据年初工作要点和重点性工作，积极履职，强化收支管理，建立健全内部管理制度，理顺内部管理流程，部门整体支出管理情况得到了提升，较好地完成了年度工作目标。</w:t>
      </w:r>
    </w:p>
    <w:p>
      <w:pPr>
        <w:ind w:firstLine="643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华文仿宋" w:hAnsi="华文仿宋" w:eastAsia="华文仿宋" w:cs="仿宋_GB2312"/>
          <w:b/>
          <w:bCs/>
          <w:sz w:val="32"/>
          <w:szCs w:val="32"/>
        </w:rPr>
        <w:t>1、社会效益。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保证</w:t>
      </w:r>
      <w:r>
        <w:rPr>
          <w:rFonts w:hint="eastAsia" w:ascii="华文仿宋" w:hAnsi="华文仿宋" w:eastAsia="华文仿宋" w:cs="仿宋_GB2312"/>
          <w:kern w:val="0"/>
          <w:sz w:val="32"/>
          <w:szCs w:val="32"/>
          <w:lang w:eastAsia="zh-CN"/>
        </w:rPr>
        <w:t>质监站</w:t>
      </w:r>
      <w:r>
        <w:rPr>
          <w:rFonts w:hint="eastAsia" w:ascii="华文仿宋" w:hAnsi="华文仿宋" w:eastAsia="华文仿宋" w:cs="仿宋_GB2312"/>
          <w:kern w:val="0"/>
          <w:sz w:val="32"/>
          <w:szCs w:val="32"/>
        </w:rPr>
        <w:t>正常工作运转及做好全县建筑工程管理等工作。</w:t>
      </w:r>
      <w:r>
        <w:rPr>
          <w:rFonts w:hint="eastAsia" w:ascii="仿宋" w:hAnsi="仿宋" w:eastAsia="仿宋"/>
          <w:sz w:val="32"/>
          <w:szCs w:val="32"/>
        </w:rPr>
        <w:t>目前，项目各项工作完成情况均达到预期目标，居民宜居环境大幅度提升，幸福指数迅速上升，得到广大群众的广泛称赞。</w:t>
      </w:r>
    </w:p>
    <w:p>
      <w:pPr>
        <w:overflowPunct w:val="0"/>
        <w:spacing w:line="580" w:lineRule="exact"/>
        <w:ind w:firstLine="643" w:firstLineChars="200"/>
        <w:rPr>
          <w:rFonts w:ascii="华文仿宋" w:hAnsi="华文仿宋" w:eastAsia="华文仿宋" w:cs="仿宋_GB2312"/>
          <w:sz w:val="32"/>
          <w:szCs w:val="32"/>
        </w:rPr>
      </w:pPr>
      <w:r>
        <w:rPr>
          <w:rFonts w:hint="eastAsia" w:ascii="华文仿宋" w:hAnsi="华文仿宋" w:eastAsia="华文仿宋" w:cs="仿宋_GB2312"/>
          <w:b/>
          <w:bCs/>
          <w:sz w:val="32"/>
          <w:szCs w:val="32"/>
        </w:rPr>
        <w:t>2、行政效能。</w:t>
      </w:r>
      <w:r>
        <w:rPr>
          <w:rFonts w:hint="eastAsia" w:ascii="华文仿宋" w:hAnsi="华文仿宋" w:eastAsia="华文仿宋" w:cs="仿宋_GB2312"/>
          <w:sz w:val="32"/>
          <w:szCs w:val="32"/>
        </w:rPr>
        <w:t>202</w:t>
      </w:r>
      <w:r>
        <w:rPr>
          <w:rFonts w:hint="eastAsia" w:ascii="华文仿宋" w:hAnsi="华文仿宋" w:eastAsia="华文仿宋" w:cs="仿宋_GB2312"/>
          <w:sz w:val="32"/>
          <w:szCs w:val="32"/>
          <w:lang w:val="en-US" w:eastAsia="zh-CN"/>
        </w:rPr>
        <w:t>2</w:t>
      </w:r>
      <w:r>
        <w:rPr>
          <w:rFonts w:hint="eastAsia" w:ascii="华文仿宋" w:hAnsi="华文仿宋" w:eastAsia="华文仿宋" w:cs="仿宋_GB2312"/>
          <w:sz w:val="32"/>
          <w:szCs w:val="32"/>
        </w:rPr>
        <w:t>年工作中进一步强化工作措施，克服种种困难，为县域经济建设作出贡献。</w:t>
      </w:r>
    </w:p>
    <w:p>
      <w:pPr>
        <w:ind w:firstLine="643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华文仿宋" w:hAnsi="华文仿宋" w:eastAsia="华文仿宋" w:cs="仿宋_GB2312"/>
          <w:b/>
          <w:bCs/>
          <w:sz w:val="32"/>
          <w:szCs w:val="32"/>
        </w:rPr>
        <w:t>3、社会公众或服务对象满意度。</w:t>
      </w:r>
      <w:r>
        <w:rPr>
          <w:rFonts w:hint="eastAsia" w:ascii="华文仿宋" w:hAnsi="华文仿宋" w:eastAsia="华文仿宋" w:cs="仿宋_GB2312"/>
          <w:sz w:val="32"/>
          <w:szCs w:val="32"/>
        </w:rPr>
        <w:t>经向本单位服务对象的了解均对本单位的服务表示满意，满意度为100%。</w:t>
      </w:r>
      <w:r>
        <w:rPr>
          <w:rFonts w:hint="eastAsia" w:ascii="仿宋" w:hAnsi="仿宋" w:eastAsia="仿宋"/>
          <w:sz w:val="32"/>
          <w:szCs w:val="32"/>
        </w:rPr>
        <w:t>自各</w:t>
      </w:r>
      <w:r>
        <w:rPr>
          <w:rFonts w:hint="eastAsia" w:ascii="仿宋" w:hAnsi="仿宋" w:eastAsia="仿宋"/>
          <w:sz w:val="32"/>
          <w:szCs w:val="32"/>
          <w:lang w:eastAsia="zh-CN"/>
        </w:rPr>
        <w:t>建筑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  <w:lang w:eastAsia="zh-CN"/>
        </w:rPr>
        <w:t>开工</w:t>
      </w:r>
      <w:r>
        <w:rPr>
          <w:rFonts w:hint="eastAsia" w:ascii="仿宋" w:hAnsi="仿宋" w:eastAsia="仿宋"/>
          <w:sz w:val="32"/>
          <w:szCs w:val="32"/>
        </w:rPr>
        <w:t>实施以来，从高从严的开展工作，确保效果达标，质量合格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得到各级领导及广大群众的充分肯定。</w:t>
      </w:r>
    </w:p>
    <w:p>
      <w:pPr>
        <w:overflowPunct w:val="0"/>
        <w:spacing w:line="580" w:lineRule="exact"/>
        <w:ind w:firstLine="643" w:firstLineChars="200"/>
        <w:rPr>
          <w:rFonts w:ascii="华文仿宋" w:hAnsi="华文仿宋" w:eastAsia="华文仿宋" w:cs="仿宋_GB2312"/>
          <w:b/>
          <w:bCs/>
          <w:sz w:val="32"/>
          <w:szCs w:val="32"/>
        </w:rPr>
      </w:pPr>
      <w:r>
        <w:rPr>
          <w:rFonts w:hint="eastAsia" w:ascii="华文仿宋" w:hAnsi="华文仿宋" w:eastAsia="华文仿宋" w:cs="黑体"/>
          <w:b/>
          <w:sz w:val="32"/>
          <w:szCs w:val="32"/>
          <w:lang w:eastAsia="zh-CN"/>
        </w:rPr>
        <w:t>五</w:t>
      </w:r>
      <w:r>
        <w:rPr>
          <w:rFonts w:hint="eastAsia" w:ascii="华文仿宋" w:hAnsi="华文仿宋" w:eastAsia="华文仿宋" w:cs="黑体"/>
          <w:b/>
          <w:sz w:val="32"/>
          <w:szCs w:val="32"/>
        </w:rPr>
        <w:t>、存在主要问题</w:t>
      </w:r>
    </w:p>
    <w:p>
      <w:pPr>
        <w:overflowPunct w:val="0"/>
        <w:spacing w:line="580" w:lineRule="exact"/>
        <w:ind w:firstLine="640" w:firstLineChars="200"/>
        <w:rPr>
          <w:rFonts w:ascii="华文仿宋" w:hAnsi="华文仿宋" w:eastAsia="华文仿宋" w:cs="仿宋_GB2312"/>
          <w:sz w:val="32"/>
          <w:szCs w:val="32"/>
        </w:rPr>
      </w:pPr>
      <w:r>
        <w:rPr>
          <w:rFonts w:hint="eastAsia" w:ascii="华文仿宋" w:hAnsi="华文仿宋" w:eastAsia="华文仿宋" w:cs="仿宋_GB2312"/>
          <w:sz w:val="32"/>
          <w:szCs w:val="32"/>
        </w:rPr>
        <w:t>1、预算不够精确，预算执行还存在偏差。</w:t>
      </w:r>
    </w:p>
    <w:p>
      <w:pPr>
        <w:overflowPunct w:val="0"/>
        <w:spacing w:line="580" w:lineRule="exact"/>
        <w:ind w:firstLine="640" w:firstLineChars="200"/>
        <w:rPr>
          <w:rFonts w:ascii="华文仿宋" w:hAnsi="华文仿宋" w:eastAsia="华文仿宋" w:cs="仿宋_GB2312"/>
          <w:sz w:val="32"/>
          <w:szCs w:val="32"/>
        </w:rPr>
      </w:pPr>
      <w:r>
        <w:rPr>
          <w:rFonts w:hint="eastAsia" w:ascii="华文仿宋" w:hAnsi="华文仿宋" w:eastAsia="华文仿宋" w:cs="仿宋_GB2312"/>
          <w:sz w:val="32"/>
          <w:szCs w:val="32"/>
        </w:rPr>
        <w:t>2、财务管制制度还须进一步加强。</w:t>
      </w:r>
    </w:p>
    <w:p>
      <w:pPr>
        <w:overflowPunct w:val="0"/>
        <w:spacing w:line="580" w:lineRule="exact"/>
        <w:ind w:firstLine="640" w:firstLineChars="200"/>
        <w:rPr>
          <w:rFonts w:ascii="华文仿宋" w:hAnsi="华文仿宋" w:eastAsia="华文仿宋" w:cs="仿宋_GB2312"/>
          <w:b/>
          <w:bCs/>
          <w:sz w:val="32"/>
          <w:szCs w:val="32"/>
        </w:rPr>
      </w:pPr>
      <w:r>
        <w:rPr>
          <w:rFonts w:hint="eastAsia" w:ascii="华文仿宋" w:hAnsi="华文仿宋" w:eastAsia="华文仿宋" w:cs="仿宋_GB2312"/>
          <w:sz w:val="32"/>
          <w:szCs w:val="32"/>
        </w:rPr>
        <w:t>3、财务人员专业知识需进一步提高。</w:t>
      </w:r>
    </w:p>
    <w:p>
      <w:pPr>
        <w:overflowPunct w:val="0"/>
        <w:spacing w:line="580" w:lineRule="exact"/>
        <w:ind w:firstLine="643" w:firstLineChars="200"/>
        <w:rPr>
          <w:rFonts w:ascii="华文仿宋" w:hAnsi="华文仿宋" w:eastAsia="华文仿宋" w:cs="仿宋_GB2312"/>
          <w:b/>
          <w:bCs/>
          <w:sz w:val="32"/>
          <w:szCs w:val="32"/>
        </w:rPr>
      </w:pPr>
      <w:r>
        <w:rPr>
          <w:rFonts w:hint="eastAsia" w:ascii="华文仿宋" w:hAnsi="华文仿宋" w:eastAsia="华文仿宋" w:cs="黑体"/>
          <w:b/>
          <w:sz w:val="32"/>
          <w:szCs w:val="32"/>
          <w:lang w:eastAsia="zh-CN"/>
        </w:rPr>
        <w:t>六</w:t>
      </w:r>
      <w:r>
        <w:rPr>
          <w:rFonts w:hint="eastAsia" w:ascii="华文仿宋" w:hAnsi="华文仿宋" w:eastAsia="华文仿宋" w:cs="黑体"/>
          <w:b/>
          <w:sz w:val="32"/>
          <w:szCs w:val="32"/>
        </w:rPr>
        <w:t>、改进措施和相关建议</w:t>
      </w:r>
    </w:p>
    <w:p>
      <w:pPr>
        <w:overflowPunct w:val="0"/>
        <w:spacing w:line="580" w:lineRule="exact"/>
        <w:ind w:firstLine="640" w:firstLineChars="200"/>
        <w:rPr>
          <w:rFonts w:ascii="华文仿宋" w:hAnsi="华文仿宋" w:eastAsia="华文仿宋" w:cs="仿宋_GB2312"/>
          <w:sz w:val="32"/>
          <w:szCs w:val="32"/>
        </w:rPr>
      </w:pPr>
      <w:r>
        <w:rPr>
          <w:rFonts w:hint="eastAsia" w:ascii="华文仿宋" w:hAnsi="华文仿宋" w:eastAsia="华文仿宋" w:cs="仿宋_GB2312"/>
          <w:sz w:val="32"/>
          <w:szCs w:val="32"/>
        </w:rPr>
        <w:t>1、是要加强财务管理，严把支出关，严格执行财务管理制度，规范各项支出审核，严防超支，促进财务管理的法制化、科学化、合理化运行,加强预算管理，强化预算监督,强化财务专业知识学习，提升专业素养。</w:t>
      </w:r>
    </w:p>
    <w:p>
      <w:pPr>
        <w:spacing w:line="600" w:lineRule="exact"/>
        <w:ind w:firstLine="642"/>
        <w:rPr>
          <w:rFonts w:ascii="华文仿宋" w:hAnsi="华文仿宋" w:eastAsia="华文仿宋"/>
          <w:bCs/>
          <w:color w:val="000000"/>
          <w:sz w:val="32"/>
        </w:rPr>
      </w:pPr>
      <w:r>
        <w:rPr>
          <w:rFonts w:hint="eastAsia" w:ascii="华文仿宋" w:hAnsi="华文仿宋" w:eastAsia="华文仿宋"/>
          <w:b/>
          <w:color w:val="000000"/>
          <w:sz w:val="32"/>
        </w:rPr>
        <w:t>2、</w:t>
      </w:r>
      <w:r>
        <w:rPr>
          <w:rFonts w:hint="eastAsia" w:ascii="华文仿宋" w:hAnsi="华文仿宋" w:eastAsia="华文仿宋"/>
          <w:color w:val="000000"/>
          <w:sz w:val="32"/>
        </w:rPr>
        <w:t>202</w:t>
      </w:r>
      <w:r>
        <w:rPr>
          <w:rFonts w:hint="eastAsia" w:ascii="华文仿宋" w:hAnsi="华文仿宋" w:eastAsia="华文仿宋"/>
          <w:color w:val="000000"/>
          <w:sz w:val="32"/>
          <w:lang w:val="en-US" w:eastAsia="zh-CN"/>
        </w:rPr>
        <w:t>3</w:t>
      </w:r>
      <w:r>
        <w:rPr>
          <w:rFonts w:hint="eastAsia" w:ascii="华文仿宋" w:hAnsi="华文仿宋" w:eastAsia="华文仿宋"/>
          <w:color w:val="000000"/>
          <w:sz w:val="32"/>
        </w:rPr>
        <w:t>年，</w:t>
      </w:r>
      <w:r>
        <w:rPr>
          <w:rFonts w:hint="eastAsia" w:ascii="华文仿宋" w:hAnsi="华文仿宋" w:eastAsia="华文仿宋"/>
          <w:color w:val="000000"/>
          <w:sz w:val="32"/>
          <w:lang w:eastAsia="zh-CN"/>
        </w:rPr>
        <w:t>继续</w:t>
      </w:r>
      <w:r>
        <w:rPr>
          <w:rFonts w:hint="eastAsia" w:ascii="华文仿宋" w:hAnsi="华文仿宋" w:eastAsia="华文仿宋" w:cs="仿宋_GB2312"/>
          <w:sz w:val="32"/>
          <w:szCs w:val="32"/>
        </w:rPr>
        <w:t>建立健全农村房屋安全隐患动态清零机制，边缘户、监测户实际房屋安全鉴定全覆盖，</w:t>
      </w:r>
      <w:r>
        <w:rPr>
          <w:rFonts w:hint="eastAsia" w:ascii="华文仿宋" w:hAnsi="华文仿宋" w:eastAsia="华文仿宋"/>
          <w:color w:val="000000"/>
          <w:sz w:val="32"/>
        </w:rPr>
        <w:t>不漏一户一人。全力开展全省农村住房安全监督管理和共同缔造示范试点工作。</w:t>
      </w:r>
      <w:r>
        <w:rPr>
          <w:rFonts w:hint="eastAsia" w:ascii="华文仿宋" w:hAnsi="华文仿宋" w:eastAsia="华文仿宋"/>
          <w:bCs/>
          <w:color w:val="000000"/>
          <w:sz w:val="32"/>
        </w:rPr>
        <w:t>研究制定符合我县实际的农村住房安全政策规定，进一步明确责任，提升我县农村住房质量安全监管水平，确保人民群众生命财产安全。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华文仿宋" w:hAnsi="华文仿宋" w:eastAsia="华文仿宋" w:cs="黑体"/>
          <w:bCs/>
          <w:color w:val="000000"/>
          <w:sz w:val="32"/>
        </w:rPr>
        <w:t xml:space="preserve">  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2154" w:right="1814" w:bottom="1701" w:left="1814" w:header="851" w:footer="119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docVars>
    <w:docVar w:name="commondata" w:val="eyJoZGlkIjoiNjc1MTJmYzUzYTc5MmNjNjIzMDI1ODE2Mzc2Yzc0NzgifQ=="/>
  </w:docVars>
  <w:rsids>
    <w:rsidRoot w:val="009438BC"/>
    <w:rsid w:val="000016CB"/>
    <w:rsid w:val="00006F0A"/>
    <w:rsid w:val="000153A5"/>
    <w:rsid w:val="00026997"/>
    <w:rsid w:val="00027920"/>
    <w:rsid w:val="000322AC"/>
    <w:rsid w:val="00034DA5"/>
    <w:rsid w:val="000416F9"/>
    <w:rsid w:val="000508B3"/>
    <w:rsid w:val="000553BB"/>
    <w:rsid w:val="00086B67"/>
    <w:rsid w:val="000967AA"/>
    <w:rsid w:val="00097B63"/>
    <w:rsid w:val="000A64C4"/>
    <w:rsid w:val="000B4B8C"/>
    <w:rsid w:val="000C4B4B"/>
    <w:rsid w:val="000E5E59"/>
    <w:rsid w:val="000E65B3"/>
    <w:rsid w:val="000E6ED3"/>
    <w:rsid w:val="000E7985"/>
    <w:rsid w:val="000F1314"/>
    <w:rsid w:val="000F18F9"/>
    <w:rsid w:val="000F5E08"/>
    <w:rsid w:val="001238B0"/>
    <w:rsid w:val="00137BF5"/>
    <w:rsid w:val="001430FE"/>
    <w:rsid w:val="00157F80"/>
    <w:rsid w:val="00173A2C"/>
    <w:rsid w:val="00180CA6"/>
    <w:rsid w:val="001A4682"/>
    <w:rsid w:val="001A518C"/>
    <w:rsid w:val="001C3942"/>
    <w:rsid w:val="001C6774"/>
    <w:rsid w:val="001C6D88"/>
    <w:rsid w:val="00202C78"/>
    <w:rsid w:val="002044D0"/>
    <w:rsid w:val="00221DB6"/>
    <w:rsid w:val="00235947"/>
    <w:rsid w:val="00237D86"/>
    <w:rsid w:val="00250C72"/>
    <w:rsid w:val="00257F1A"/>
    <w:rsid w:val="00257F9D"/>
    <w:rsid w:val="0026753A"/>
    <w:rsid w:val="00275271"/>
    <w:rsid w:val="00294A20"/>
    <w:rsid w:val="002A3012"/>
    <w:rsid w:val="002A3A25"/>
    <w:rsid w:val="002F028D"/>
    <w:rsid w:val="002F7164"/>
    <w:rsid w:val="00323982"/>
    <w:rsid w:val="00325B32"/>
    <w:rsid w:val="00331E1A"/>
    <w:rsid w:val="00362549"/>
    <w:rsid w:val="00393E3D"/>
    <w:rsid w:val="003946BD"/>
    <w:rsid w:val="003C45B4"/>
    <w:rsid w:val="003C650F"/>
    <w:rsid w:val="003D387A"/>
    <w:rsid w:val="003F256F"/>
    <w:rsid w:val="003F3832"/>
    <w:rsid w:val="003F6740"/>
    <w:rsid w:val="004108EB"/>
    <w:rsid w:val="0043347B"/>
    <w:rsid w:val="00447511"/>
    <w:rsid w:val="00450EC5"/>
    <w:rsid w:val="0046751D"/>
    <w:rsid w:val="00484489"/>
    <w:rsid w:val="00497DEC"/>
    <w:rsid w:val="004A06F7"/>
    <w:rsid w:val="004A4D55"/>
    <w:rsid w:val="004A5C7A"/>
    <w:rsid w:val="004A6F7B"/>
    <w:rsid w:val="004C34A3"/>
    <w:rsid w:val="004C40EB"/>
    <w:rsid w:val="004D281C"/>
    <w:rsid w:val="004F382E"/>
    <w:rsid w:val="004F495E"/>
    <w:rsid w:val="004F4D43"/>
    <w:rsid w:val="00510CD4"/>
    <w:rsid w:val="00517785"/>
    <w:rsid w:val="00532082"/>
    <w:rsid w:val="00543B79"/>
    <w:rsid w:val="00544F8C"/>
    <w:rsid w:val="005765C1"/>
    <w:rsid w:val="005913C2"/>
    <w:rsid w:val="005C4313"/>
    <w:rsid w:val="005C56C8"/>
    <w:rsid w:val="005D026E"/>
    <w:rsid w:val="005D072A"/>
    <w:rsid w:val="005F01E3"/>
    <w:rsid w:val="00604D0C"/>
    <w:rsid w:val="00610948"/>
    <w:rsid w:val="0061727A"/>
    <w:rsid w:val="00622EC3"/>
    <w:rsid w:val="006470E7"/>
    <w:rsid w:val="006527B6"/>
    <w:rsid w:val="006545A1"/>
    <w:rsid w:val="006744C0"/>
    <w:rsid w:val="00677A45"/>
    <w:rsid w:val="00683C46"/>
    <w:rsid w:val="0068408F"/>
    <w:rsid w:val="006B24C8"/>
    <w:rsid w:val="006D1000"/>
    <w:rsid w:val="006F79FC"/>
    <w:rsid w:val="0071684C"/>
    <w:rsid w:val="0071766D"/>
    <w:rsid w:val="0072023E"/>
    <w:rsid w:val="007257C7"/>
    <w:rsid w:val="00726848"/>
    <w:rsid w:val="0073239E"/>
    <w:rsid w:val="007329EF"/>
    <w:rsid w:val="00736955"/>
    <w:rsid w:val="00736EA6"/>
    <w:rsid w:val="00744555"/>
    <w:rsid w:val="007453FA"/>
    <w:rsid w:val="007635FA"/>
    <w:rsid w:val="007754CC"/>
    <w:rsid w:val="00792107"/>
    <w:rsid w:val="00795871"/>
    <w:rsid w:val="007A03CA"/>
    <w:rsid w:val="007C019E"/>
    <w:rsid w:val="007C13B2"/>
    <w:rsid w:val="007D02A2"/>
    <w:rsid w:val="007D0C75"/>
    <w:rsid w:val="007D1BD7"/>
    <w:rsid w:val="007D3E81"/>
    <w:rsid w:val="007D6660"/>
    <w:rsid w:val="007F1E0B"/>
    <w:rsid w:val="007F41B0"/>
    <w:rsid w:val="007F7262"/>
    <w:rsid w:val="00802CAF"/>
    <w:rsid w:val="008032A9"/>
    <w:rsid w:val="008149CF"/>
    <w:rsid w:val="0082115E"/>
    <w:rsid w:val="008373A7"/>
    <w:rsid w:val="0086154E"/>
    <w:rsid w:val="00873171"/>
    <w:rsid w:val="0087661D"/>
    <w:rsid w:val="00882B8B"/>
    <w:rsid w:val="008A38C4"/>
    <w:rsid w:val="008B641C"/>
    <w:rsid w:val="008C053D"/>
    <w:rsid w:val="008D0C0A"/>
    <w:rsid w:val="008E16A7"/>
    <w:rsid w:val="008E43FC"/>
    <w:rsid w:val="008E5001"/>
    <w:rsid w:val="008E62F5"/>
    <w:rsid w:val="008F1940"/>
    <w:rsid w:val="008F2935"/>
    <w:rsid w:val="00901F4A"/>
    <w:rsid w:val="00902106"/>
    <w:rsid w:val="00905E34"/>
    <w:rsid w:val="00906988"/>
    <w:rsid w:val="00906A4F"/>
    <w:rsid w:val="00917E00"/>
    <w:rsid w:val="00922893"/>
    <w:rsid w:val="00923F03"/>
    <w:rsid w:val="0092447E"/>
    <w:rsid w:val="00933967"/>
    <w:rsid w:val="009438BC"/>
    <w:rsid w:val="00951281"/>
    <w:rsid w:val="00956D55"/>
    <w:rsid w:val="00960D5D"/>
    <w:rsid w:val="00967342"/>
    <w:rsid w:val="009717FE"/>
    <w:rsid w:val="0099090D"/>
    <w:rsid w:val="009A2723"/>
    <w:rsid w:val="009A41C1"/>
    <w:rsid w:val="009A4978"/>
    <w:rsid w:val="009C123B"/>
    <w:rsid w:val="009E5030"/>
    <w:rsid w:val="00A14E84"/>
    <w:rsid w:val="00A4368C"/>
    <w:rsid w:val="00A5453B"/>
    <w:rsid w:val="00A945D7"/>
    <w:rsid w:val="00AA16E5"/>
    <w:rsid w:val="00AB6244"/>
    <w:rsid w:val="00AC517B"/>
    <w:rsid w:val="00AC5E64"/>
    <w:rsid w:val="00AD30AB"/>
    <w:rsid w:val="00AD3F8B"/>
    <w:rsid w:val="00AE4ED4"/>
    <w:rsid w:val="00AF5611"/>
    <w:rsid w:val="00B0267D"/>
    <w:rsid w:val="00B2261B"/>
    <w:rsid w:val="00B231EE"/>
    <w:rsid w:val="00B3431F"/>
    <w:rsid w:val="00BA16E6"/>
    <w:rsid w:val="00BB1EF9"/>
    <w:rsid w:val="00BB7094"/>
    <w:rsid w:val="00BC5A30"/>
    <w:rsid w:val="00BF4EA2"/>
    <w:rsid w:val="00BF6B0A"/>
    <w:rsid w:val="00C02787"/>
    <w:rsid w:val="00C129C9"/>
    <w:rsid w:val="00C16FEA"/>
    <w:rsid w:val="00C25CE7"/>
    <w:rsid w:val="00C63DB0"/>
    <w:rsid w:val="00C65260"/>
    <w:rsid w:val="00C76A83"/>
    <w:rsid w:val="00CA4D98"/>
    <w:rsid w:val="00CB0E22"/>
    <w:rsid w:val="00CC4743"/>
    <w:rsid w:val="00CE1E41"/>
    <w:rsid w:val="00D169F5"/>
    <w:rsid w:val="00D40CCB"/>
    <w:rsid w:val="00D60E06"/>
    <w:rsid w:val="00D60E44"/>
    <w:rsid w:val="00D73AF9"/>
    <w:rsid w:val="00D818B4"/>
    <w:rsid w:val="00D869D2"/>
    <w:rsid w:val="00D87D64"/>
    <w:rsid w:val="00DC16F6"/>
    <w:rsid w:val="00DF0BC6"/>
    <w:rsid w:val="00DF5603"/>
    <w:rsid w:val="00E231DF"/>
    <w:rsid w:val="00E5205D"/>
    <w:rsid w:val="00E64922"/>
    <w:rsid w:val="00E82AC6"/>
    <w:rsid w:val="00E84235"/>
    <w:rsid w:val="00E85828"/>
    <w:rsid w:val="00E917FE"/>
    <w:rsid w:val="00E96545"/>
    <w:rsid w:val="00EA0C09"/>
    <w:rsid w:val="00EB4775"/>
    <w:rsid w:val="00EB65CF"/>
    <w:rsid w:val="00EC3D75"/>
    <w:rsid w:val="00ED63EB"/>
    <w:rsid w:val="00EE6E69"/>
    <w:rsid w:val="00EF6987"/>
    <w:rsid w:val="00F03FBB"/>
    <w:rsid w:val="00F07E5A"/>
    <w:rsid w:val="00F53075"/>
    <w:rsid w:val="00F70202"/>
    <w:rsid w:val="00F95D68"/>
    <w:rsid w:val="00F97244"/>
    <w:rsid w:val="00FA241F"/>
    <w:rsid w:val="00FC0203"/>
    <w:rsid w:val="00FD5B09"/>
    <w:rsid w:val="00FF1647"/>
    <w:rsid w:val="00FF3D3E"/>
    <w:rsid w:val="01D04450"/>
    <w:rsid w:val="089D5D22"/>
    <w:rsid w:val="090C503E"/>
    <w:rsid w:val="18BC560B"/>
    <w:rsid w:val="1C571F8C"/>
    <w:rsid w:val="1C634110"/>
    <w:rsid w:val="355C5B9B"/>
    <w:rsid w:val="4A1A3039"/>
    <w:rsid w:val="4DEB2990"/>
    <w:rsid w:val="52A3703F"/>
    <w:rsid w:val="543D274D"/>
    <w:rsid w:val="5D59596F"/>
    <w:rsid w:val="69946B2B"/>
    <w:rsid w:val="6DEE4330"/>
    <w:rsid w:val="6DF510E1"/>
    <w:rsid w:val="7DFD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locked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unhideWhenUsed/>
    <w:qFormat/>
    <w:uiPriority w:val="0"/>
    <w:pPr>
      <w:spacing w:after="120"/>
    </w:pPr>
    <w:rPr>
      <w:rFonts w:ascii="Times New Roman" w:hAnsi="Times New Roman"/>
      <w:szCs w:val="24"/>
    </w:rPr>
  </w:style>
  <w:style w:type="paragraph" w:styleId="4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basedOn w:val="8"/>
    <w:qFormat/>
    <w:locked/>
    <w:uiPriority w:val="22"/>
    <w:rPr>
      <w:b/>
      <w:bCs/>
    </w:rPr>
  </w:style>
  <w:style w:type="character" w:customStyle="1" w:styleId="10">
    <w:name w:val="页眉 Char"/>
    <w:basedOn w:val="8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8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日期 Char"/>
    <w:basedOn w:val="8"/>
    <w:link w:val="4"/>
    <w:semiHidden/>
    <w:qFormat/>
    <w:uiPriority w:val="99"/>
    <w:rPr>
      <w:kern w:val="2"/>
      <w:sz w:val="21"/>
      <w:szCs w:val="22"/>
    </w:rPr>
  </w:style>
  <w:style w:type="character" w:customStyle="1" w:styleId="13">
    <w:name w:val="标题 1 Char"/>
    <w:basedOn w:val="8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  <w:rPr>
      <w:rFonts w:cs="Calibri"/>
      <w:szCs w:val="21"/>
    </w:rPr>
  </w:style>
  <w:style w:type="character" w:customStyle="1" w:styleId="15">
    <w:name w:val="正文文本 Char"/>
    <w:basedOn w:val="8"/>
    <w:link w:val="3"/>
    <w:qFormat/>
    <w:uiPriority w:val="0"/>
    <w:rPr>
      <w:rFonts w:ascii="Times New Roman" w:hAnsi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51D77F-F98E-416D-B597-B85F187A19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1443</Words>
  <Characters>1598</Characters>
  <Lines>34</Lines>
  <Paragraphs>9</Paragraphs>
  <TotalTime>103</TotalTime>
  <ScaleCrop>false</ScaleCrop>
  <LinksUpToDate>false</LinksUpToDate>
  <CharactersWithSpaces>1639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2017-12-07T03:38:00Z</dcterms:created>
  <dc:creator>Microsoft</dc:creator>
  <cp:lastModifiedBy>Administrator</cp:lastModifiedBy>
  <cp:lastPrinted>2023-06-05T07:29:00Z</cp:lastPrinted>
  <dcterms:modified xsi:type="dcterms:W3CDTF">2023-08-02T01:59:12Z</dcterms:modified>
  <dc:title>XX单位2018年部门预算编制说明</dc:title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3B2FAF377393467A8C9C2988CB4F0B74_13</vt:lpwstr>
  </property>
</Properties>
</file>