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928" w:rsidRDefault="00F705F7">
      <w:pPr>
        <w:spacing w:line="640" w:lineRule="exact"/>
        <w:jc w:val="center"/>
        <w:rPr>
          <w:rFonts w:ascii="方正大标宋简体" w:eastAsia="方正大标宋简体" w:hAnsi="汉仪旗黑-55S" w:cs="汉仪旗黑-55S"/>
          <w:bCs/>
          <w:sz w:val="44"/>
          <w:szCs w:val="44"/>
        </w:rPr>
      </w:pPr>
      <w:r>
        <w:rPr>
          <w:rFonts w:ascii="方正大标宋简体" w:eastAsia="方正大标宋简体" w:hAnsi="汉仪旗黑-55S" w:cs="汉仪旗黑-55S" w:hint="eastAsia"/>
          <w:bCs/>
          <w:sz w:val="44"/>
          <w:szCs w:val="44"/>
        </w:rPr>
        <w:t>县市场服务中心</w:t>
      </w:r>
      <w:r>
        <w:rPr>
          <w:rFonts w:ascii="方正大标宋简体" w:eastAsia="方正大标宋简体" w:hAnsi="汉仪旗黑-55S" w:cs="汉仪旗黑-55S"/>
          <w:bCs/>
          <w:sz w:val="44"/>
          <w:szCs w:val="44"/>
        </w:rPr>
        <w:t>2</w:t>
      </w:r>
      <w:r w:rsidR="006B085F">
        <w:rPr>
          <w:rFonts w:ascii="方正大标宋简体" w:eastAsia="方正大标宋简体" w:hAnsi="汉仪旗黑-55S" w:cs="汉仪旗黑-55S" w:hint="eastAsia"/>
          <w:bCs/>
          <w:sz w:val="44"/>
          <w:szCs w:val="44"/>
        </w:rPr>
        <w:t>02</w:t>
      </w:r>
      <w:r w:rsidR="006B085F">
        <w:rPr>
          <w:rFonts w:ascii="方正大标宋简体" w:eastAsia="方正大标宋简体" w:hAnsi="汉仪旗黑-55S" w:cs="汉仪旗黑-55S"/>
          <w:bCs/>
          <w:sz w:val="44"/>
          <w:szCs w:val="44"/>
        </w:rPr>
        <w:t>2</w:t>
      </w:r>
      <w:r>
        <w:rPr>
          <w:rFonts w:ascii="方正大标宋简体" w:eastAsia="方正大标宋简体" w:hAnsi="汉仪旗黑-55S" w:cs="汉仪旗黑-55S" w:hint="eastAsia"/>
          <w:bCs/>
          <w:sz w:val="44"/>
          <w:szCs w:val="44"/>
        </w:rPr>
        <w:t>年部门整体支出绩效</w:t>
      </w:r>
    </w:p>
    <w:p w:rsidR="006C7928" w:rsidRDefault="00F705F7">
      <w:pPr>
        <w:spacing w:line="640" w:lineRule="exact"/>
        <w:jc w:val="center"/>
        <w:rPr>
          <w:rFonts w:ascii="方正大标宋简体" w:eastAsia="方正大标宋简体" w:hAnsi="汉仪旗黑-55S" w:cs="汉仪旗黑-55S"/>
          <w:bCs/>
          <w:sz w:val="44"/>
          <w:szCs w:val="44"/>
        </w:rPr>
      </w:pPr>
      <w:r>
        <w:rPr>
          <w:rFonts w:ascii="方正大标宋简体" w:eastAsia="方正大标宋简体" w:hAnsi="汉仪旗黑-55S" w:cs="汉仪旗黑-55S" w:hint="eastAsia"/>
          <w:bCs/>
          <w:sz w:val="44"/>
          <w:szCs w:val="44"/>
        </w:rPr>
        <w:t>自</w:t>
      </w:r>
      <w:r>
        <w:rPr>
          <w:rFonts w:ascii="方正大标宋简体" w:eastAsia="方正大标宋简体" w:hAnsi="汉仪旗黑-55S" w:cs="汉仪旗黑-55S"/>
          <w:bCs/>
          <w:sz w:val="44"/>
          <w:szCs w:val="44"/>
        </w:rPr>
        <w:t xml:space="preserve"> </w:t>
      </w:r>
      <w:r>
        <w:rPr>
          <w:rFonts w:ascii="方正大标宋简体" w:eastAsia="方正大标宋简体" w:hAnsi="汉仪旗黑-55S" w:cs="汉仪旗黑-55S" w:hint="eastAsia"/>
          <w:bCs/>
          <w:sz w:val="44"/>
          <w:szCs w:val="44"/>
        </w:rPr>
        <w:t>评</w:t>
      </w:r>
      <w:r>
        <w:rPr>
          <w:rFonts w:ascii="方正大标宋简体" w:eastAsia="方正大标宋简体" w:hAnsi="汉仪旗黑-55S" w:cs="汉仪旗黑-55S"/>
          <w:bCs/>
          <w:sz w:val="44"/>
          <w:szCs w:val="44"/>
        </w:rPr>
        <w:t xml:space="preserve"> </w:t>
      </w:r>
      <w:r>
        <w:rPr>
          <w:rFonts w:ascii="方正大标宋简体" w:eastAsia="方正大标宋简体" w:hAnsi="汉仪旗黑-55S" w:cs="汉仪旗黑-55S" w:hint="eastAsia"/>
          <w:bCs/>
          <w:sz w:val="44"/>
          <w:szCs w:val="44"/>
        </w:rPr>
        <w:t>报</w:t>
      </w:r>
      <w:r>
        <w:rPr>
          <w:rFonts w:ascii="方正大标宋简体" w:eastAsia="方正大标宋简体" w:hAnsi="汉仪旗黑-55S" w:cs="汉仪旗黑-55S"/>
          <w:bCs/>
          <w:sz w:val="44"/>
          <w:szCs w:val="44"/>
        </w:rPr>
        <w:t xml:space="preserve"> </w:t>
      </w:r>
      <w:r>
        <w:rPr>
          <w:rFonts w:ascii="方正大标宋简体" w:eastAsia="方正大标宋简体" w:hAnsi="汉仪旗黑-55S" w:cs="汉仪旗黑-55S" w:hint="eastAsia"/>
          <w:bCs/>
          <w:sz w:val="44"/>
          <w:szCs w:val="44"/>
        </w:rPr>
        <w:t>告</w:t>
      </w:r>
    </w:p>
    <w:p w:rsidR="006C7928" w:rsidRDefault="006C7928">
      <w:pPr>
        <w:spacing w:line="640" w:lineRule="exact"/>
        <w:ind w:firstLineChars="200" w:firstLine="883"/>
        <w:rPr>
          <w:rFonts w:ascii="仿宋_GB2312" w:eastAsia="仿宋_GB2312" w:cs="宋体"/>
          <w:b/>
          <w:bCs/>
          <w:sz w:val="44"/>
          <w:szCs w:val="44"/>
        </w:rPr>
      </w:pPr>
    </w:p>
    <w:p w:rsidR="006C7928" w:rsidRDefault="00F705F7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一、单位基本情况</w:t>
      </w:r>
    </w:p>
    <w:p w:rsidR="006C7928" w:rsidRDefault="00F705F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市场服务中心是自收自支的事业单位，现有干部职工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="006B085F"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人，其中在职</w:t>
      </w:r>
      <w:r w:rsidR="006B085F">
        <w:rPr>
          <w:rFonts w:ascii="仿宋_GB2312" w:eastAsia="仿宋_GB2312" w:hAnsi="仿宋_GB2312" w:cs="仿宋_GB2312"/>
          <w:sz w:val="32"/>
          <w:szCs w:val="32"/>
        </w:rPr>
        <w:t>37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人，退休</w:t>
      </w:r>
      <w:r w:rsidR="006B085F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="006B085F">
        <w:rPr>
          <w:rFonts w:ascii="仿宋_GB2312" w:eastAsia="仿宋_GB2312" w:hAnsi="仿宋_GB2312" w:cs="仿宋_GB2312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人，内设办公室、物业、财务三个股室，下辖城北、城中、城南</w:t>
      </w:r>
      <w:r>
        <w:rPr>
          <w:rFonts w:ascii="仿宋_GB2312" w:eastAsia="仿宋_GB2312" w:hAnsi="仿宋_GB2312" w:cs="仿宋_GB2312" w:hint="eastAsia"/>
          <w:sz w:val="32"/>
          <w:szCs w:val="32"/>
        </w:rPr>
        <w:t>、大盛四</w:t>
      </w:r>
      <w:r>
        <w:rPr>
          <w:rFonts w:ascii="仿宋_GB2312" w:eastAsia="仿宋_GB2312" w:hAnsi="仿宋_GB2312" w:cs="仿宋_GB2312" w:hint="eastAsia"/>
          <w:sz w:val="32"/>
          <w:szCs w:val="32"/>
        </w:rPr>
        <w:t>个服务部和</w:t>
      </w:r>
      <w:r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个乡镇农贸市场。本单位的主要职责有：加强全县农贸市场体系建设，对全县农贸市场进行维修维护，优化市场环境，维护市场秩序，强化市场管理；提供市场摊位服务，代管国有资产。</w:t>
      </w:r>
    </w:p>
    <w:p w:rsidR="006C7928" w:rsidRDefault="00F705F7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二、部门整体支出管理及使用情况</w:t>
      </w:r>
    </w:p>
    <w:p w:rsidR="006C7928" w:rsidRDefault="00F705F7">
      <w:pPr>
        <w:spacing w:line="600" w:lineRule="exact"/>
        <w:ind w:firstLineChars="200" w:firstLine="643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（一）基本支出情况</w:t>
      </w:r>
    </w:p>
    <w:p w:rsidR="006C7928" w:rsidRDefault="00F705F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主要用于在职和退休人员的工资福利，保障正常运转的公用支出和业务支出。</w:t>
      </w:r>
    </w:p>
    <w:p w:rsidR="006B085F" w:rsidRDefault="006B085F" w:rsidP="006B085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年单位基本支出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/>
          <w:sz w:val="32"/>
          <w:szCs w:val="32"/>
        </w:rPr>
        <w:t>55.23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万元，其中工资福利支出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/>
          <w:sz w:val="32"/>
          <w:szCs w:val="32"/>
        </w:rPr>
        <w:t>67.78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主要包括：基本工资、津贴补贴、奖金、其他工资福利支出等。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商品服务支出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/>
          <w:sz w:val="32"/>
          <w:szCs w:val="32"/>
        </w:rPr>
        <w:t>60.50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主要包括：办公费、印刷费、水电费、差旅费等；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对个人和家庭补助支出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/>
          <w:sz w:val="32"/>
          <w:szCs w:val="32"/>
        </w:rPr>
        <w:t>5.12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，主要包括：退休费、生活补助、奖励金等</w:t>
      </w:r>
      <w:r>
        <w:rPr>
          <w:rFonts w:ascii="仿宋_GB2312" w:eastAsia="仿宋_GB2312" w:hAnsi="仿宋_GB2312" w:cs="仿宋_GB2312" w:hint="eastAsia"/>
          <w:sz w:val="32"/>
          <w:szCs w:val="32"/>
        </w:rPr>
        <w:t>；其他支出1</w:t>
      </w:r>
      <w:r>
        <w:rPr>
          <w:rFonts w:ascii="仿宋_GB2312" w:eastAsia="仿宋_GB2312" w:hAnsi="仿宋_GB2312" w:cs="仿宋_GB2312"/>
          <w:sz w:val="32"/>
          <w:szCs w:val="32"/>
        </w:rPr>
        <w:t>.83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万元，主要包括办公设备购置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。“三公经费”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严格按照上级有关规定从严管理，从严控制。202</w:t>
      </w:r>
      <w:r>
        <w:rPr>
          <w:rFonts w:ascii="仿宋_GB2312" w:eastAsia="仿宋_GB2312" w:hAnsi="仿宋_GB2312" w:cs="仿宋_GB2312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年度单位无“三公”经费使用情况。</w:t>
      </w:r>
    </w:p>
    <w:p w:rsidR="006C7928" w:rsidRDefault="00F705F7">
      <w:pPr>
        <w:spacing w:line="600" w:lineRule="exact"/>
        <w:ind w:firstLineChars="200" w:firstLine="640"/>
        <w:rPr>
          <w:rFonts w:ascii="楷体_GB2312" w:eastAsia="楷体_GB2312" w:hAnsi="楷体_GB2312" w:cs="楷体_GB2312"/>
          <w:b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楷体_GB2312" w:eastAsia="楷体_GB2312" w:hAnsi="楷体_GB2312" w:cs="楷体_GB2312" w:hint="eastAsia"/>
          <w:b/>
          <w:bCs/>
          <w:sz w:val="32"/>
          <w:szCs w:val="32"/>
        </w:rPr>
        <w:t>（二）项目支出情况</w:t>
      </w:r>
    </w:p>
    <w:p w:rsidR="006B085F" w:rsidRDefault="006B085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年单位项目支出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0</w:t>
      </w:r>
      <w:r w:rsidR="00F705F7"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6C7928" w:rsidRDefault="00F705F7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三、资产管理情况</w:t>
      </w:r>
    </w:p>
    <w:p w:rsidR="006C7928" w:rsidRDefault="00F705F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截止</w:t>
      </w:r>
      <w:r w:rsidR="006B085F"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年固定资产总额为</w:t>
      </w:r>
      <w:r w:rsidR="006B085F"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="006B085F">
        <w:rPr>
          <w:rFonts w:ascii="仿宋_GB2312" w:eastAsia="仿宋_GB2312" w:hAnsi="仿宋_GB2312" w:cs="仿宋_GB2312"/>
          <w:sz w:val="32"/>
          <w:szCs w:val="32"/>
        </w:rPr>
        <w:t>34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主要由办公用房及设备等组成，存放在机关保障工作正常开展。本年度无自用国有资产对外投资、出租出借或处置国有资产取得收益。资产管理体制和制度建设方面，根据财政部门和主管部门的要求，建立完善了本单位资产管理制度，确定了资产管理员，安排专人履行职能，并要求财务人员予以配合。同时，按程序购置和处置相关资产，并及时录入到系统。</w:t>
      </w:r>
    </w:p>
    <w:p w:rsidR="006C7928" w:rsidRDefault="00F705F7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</w:t>
      </w:r>
      <w:r>
        <w:rPr>
          <w:rFonts w:ascii="黑体" w:eastAsia="黑体" w:hAnsi="黑体" w:cs="黑体" w:hint="eastAsia"/>
          <w:bCs/>
          <w:sz w:val="32"/>
          <w:szCs w:val="32"/>
        </w:rPr>
        <w:t>部门整体支出绩效情况</w:t>
      </w:r>
    </w:p>
    <w:p w:rsidR="006C7928" w:rsidRDefault="00F705F7">
      <w:pPr>
        <w:spacing w:line="600" w:lineRule="exact"/>
        <w:rPr>
          <w:rFonts w:ascii="仿宋_GB2312" w:eastAsia="仿宋_GB2312" w:hAnsi="仿宋_GB2312" w:cs="仿宋_GB2312"/>
          <w:bCs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根据溆浦县财政局</w:t>
      </w:r>
      <w:r w:rsidR="006B085F"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年度部门整体支出绩效评价指标考评，此次自评综合得分为</w:t>
      </w:r>
      <w:r w:rsidR="006B085F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="006B085F">
        <w:rPr>
          <w:rFonts w:ascii="仿宋_GB2312" w:eastAsia="仿宋_GB2312" w:hAnsi="仿宋_GB2312" w:cs="仿宋_GB2312"/>
          <w:sz w:val="32"/>
          <w:szCs w:val="32"/>
        </w:rPr>
        <w:t>8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分，从整体上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看，我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单位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资金运行维护决策正确，资金管理规范，项目管理到位，政策执行有力，有效发挥了财政资金的使用效率。我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单位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项目资金其主要用途是</w:t>
      </w:r>
      <w:r>
        <w:rPr>
          <w:rFonts w:ascii="仿宋_GB2312" w:eastAsia="仿宋_GB2312" w:hAnsi="仿宋_GB2312" w:cs="仿宋_GB2312" w:hint="eastAsia"/>
          <w:sz w:val="32"/>
          <w:szCs w:val="32"/>
        </w:rPr>
        <w:t>优化市场环境，维护市场秩序，强化市场管理；提供市场摊位服务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保障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市场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的正常运转；在人员经费支出、公共支出严格执行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上级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的各项制度；在项目经费的使用上，在保证各项任务顺利完成的同时，严格落实厉行节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约的原则；三公经费的使用严格控制在预算申报的范围内。</w:t>
      </w:r>
    </w:p>
    <w:p w:rsidR="006C7928" w:rsidRDefault="00F705F7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五、存在的主要问题</w:t>
      </w:r>
    </w:p>
    <w:p w:rsidR="006C7928" w:rsidRDefault="00F705F7">
      <w:pPr>
        <w:pStyle w:val="a7"/>
        <w:spacing w:beforeAutospacing="0" w:afterAutospacing="0" w:line="600" w:lineRule="exact"/>
        <w:jc w:val="both"/>
        <w:rPr>
          <w:rFonts w:ascii="仿宋_GB2312" w:eastAsia="仿宋_GB2312" w:hAnsi="仿宋_GB2312" w:cs="仿宋_GB2312"/>
          <w:color w:val="000000"/>
          <w:spacing w:val="-4"/>
          <w:kern w:val="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pacing w:val="-4"/>
          <w:kern w:val="2"/>
          <w:sz w:val="32"/>
          <w:szCs w:val="32"/>
        </w:rPr>
        <w:t xml:space="preserve">　　</w:t>
      </w:r>
      <w:r>
        <w:rPr>
          <w:rFonts w:ascii="仿宋_GB2312" w:eastAsia="仿宋_GB2312" w:hAnsi="仿宋_GB2312" w:cs="仿宋_GB2312" w:hint="eastAsia"/>
          <w:color w:val="000000"/>
          <w:spacing w:val="-4"/>
          <w:kern w:val="2"/>
          <w:sz w:val="32"/>
          <w:szCs w:val="32"/>
        </w:rPr>
        <w:t>资金安排难以有效满足工作需要，由于市场设施</w:t>
      </w:r>
      <w:r>
        <w:rPr>
          <w:rFonts w:ascii="仿宋_GB2312" w:eastAsia="仿宋_GB2312" w:hAnsi="仿宋_GB2312" w:cs="仿宋_GB2312" w:hint="eastAsia"/>
          <w:color w:val="000000"/>
          <w:spacing w:val="-4"/>
          <w:kern w:val="2"/>
          <w:sz w:val="32"/>
          <w:szCs w:val="32"/>
        </w:rPr>
        <w:t>及管理</w:t>
      </w:r>
      <w:r>
        <w:rPr>
          <w:rFonts w:ascii="仿宋_GB2312" w:eastAsia="仿宋_GB2312" w:hAnsi="仿宋_GB2312" w:cs="仿宋_GB2312" w:hint="eastAsia"/>
          <w:color w:val="000000"/>
          <w:spacing w:val="-4"/>
          <w:kern w:val="2"/>
          <w:sz w:val="32"/>
          <w:szCs w:val="32"/>
        </w:rPr>
        <w:t>存</w:t>
      </w:r>
      <w:r>
        <w:rPr>
          <w:rFonts w:ascii="仿宋_GB2312" w:eastAsia="仿宋_GB2312" w:hAnsi="仿宋_GB2312" w:cs="仿宋_GB2312" w:hint="eastAsia"/>
          <w:bCs/>
          <w:color w:val="333333"/>
          <w:sz w:val="32"/>
          <w:szCs w:val="32"/>
        </w:rPr>
        <w:t>在</w:t>
      </w:r>
      <w:r>
        <w:rPr>
          <w:rFonts w:ascii="仿宋_GB2312" w:eastAsia="仿宋_GB2312" w:hAnsi="仿宋_GB2312" w:cs="仿宋_GB2312" w:hint="eastAsia"/>
          <w:color w:val="000000"/>
          <w:spacing w:val="-4"/>
          <w:kern w:val="2"/>
          <w:sz w:val="32"/>
          <w:szCs w:val="32"/>
        </w:rPr>
        <w:t>很多不确定因素，</w:t>
      </w:r>
      <w:r>
        <w:rPr>
          <w:rFonts w:ascii="仿宋_GB2312" w:eastAsia="仿宋_GB2312" w:hAnsi="仿宋_GB2312" w:cs="仿宋_GB2312" w:hint="eastAsia"/>
          <w:color w:val="000000"/>
          <w:spacing w:val="-4"/>
          <w:kern w:val="2"/>
          <w:sz w:val="32"/>
          <w:szCs w:val="32"/>
        </w:rPr>
        <w:t>特别是近年来疫情防控方面</w:t>
      </w:r>
      <w:r>
        <w:rPr>
          <w:rFonts w:ascii="仿宋_GB2312" w:eastAsia="仿宋_GB2312" w:hAnsi="仿宋_GB2312" w:cs="仿宋_GB2312" w:hint="eastAsia"/>
          <w:color w:val="000000"/>
          <w:spacing w:val="-4"/>
          <w:kern w:val="2"/>
          <w:sz w:val="32"/>
          <w:szCs w:val="32"/>
        </w:rPr>
        <w:t>我中心要投入大量人力、财务、物力。</w:t>
      </w:r>
    </w:p>
    <w:p w:rsidR="006C7928" w:rsidRDefault="00F705F7">
      <w:pPr>
        <w:spacing w:line="600" w:lineRule="exact"/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六、有关建议</w:t>
      </w:r>
    </w:p>
    <w:p w:rsidR="006C7928" w:rsidRDefault="00F705F7">
      <w:pPr>
        <w:widowControl/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 xml:space="preserve">　　一是加强财务管理，严格财务审核。加强单位财务管理，健全单位财务管理制度体系，规范单位财务行为。在费用报账支付时，按照预算规定的费用项目和用途进行资金使用审核、列报支付、财务核算，杜绝超支现象的发生。</w:t>
      </w:r>
    </w:p>
    <w:p w:rsidR="006C7928" w:rsidRDefault="00F705F7">
      <w:pPr>
        <w:widowControl/>
        <w:shd w:val="clear" w:color="auto" w:fill="FFFFFF"/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</w:rPr>
        <w:t xml:space="preserve">　　二是对相关人员加强培训，特别是针对《预算法》、《行政事业单位会计制度》等学习培训，规范部门预算收支核算，切实提高部门预算收支管理水平。</w:t>
      </w:r>
    </w:p>
    <w:p w:rsidR="006C7928" w:rsidRDefault="00F705F7">
      <w:pPr>
        <w:pStyle w:val="a7"/>
        <w:widowControl/>
        <w:spacing w:beforeAutospacing="0" w:afterAutospacing="0" w:line="400" w:lineRule="atLeast"/>
        <w:ind w:firstLine="480"/>
        <w:jc w:val="both"/>
        <w:rPr>
          <w:rFonts w:ascii="仿宋_GB2312" w:eastAsia="仿宋_GB2312" w:hAnsi="新宋体" w:cs="新宋体"/>
          <w:color w:val="333333"/>
          <w:sz w:val="32"/>
          <w:szCs w:val="32"/>
        </w:rPr>
      </w:pPr>
      <w:r>
        <w:rPr>
          <w:rFonts w:ascii="新宋体" w:eastAsia="仿宋_GB2312" w:hAnsi="新宋体" w:cs="新宋体"/>
          <w:color w:val="333333"/>
          <w:sz w:val="32"/>
          <w:szCs w:val="32"/>
        </w:rPr>
        <w:t>                       </w:t>
      </w:r>
    </w:p>
    <w:p w:rsidR="006C7928" w:rsidRDefault="006C7928">
      <w:pPr>
        <w:pStyle w:val="a7"/>
        <w:widowControl/>
        <w:spacing w:beforeAutospacing="0" w:afterAutospacing="0" w:line="400" w:lineRule="atLeast"/>
        <w:ind w:left="480"/>
        <w:jc w:val="both"/>
        <w:rPr>
          <w:rFonts w:ascii="仿宋_GB2312" w:eastAsia="仿宋_GB2312" w:hAnsi="新宋体" w:cs="新宋体"/>
          <w:color w:val="333333"/>
          <w:sz w:val="32"/>
          <w:szCs w:val="32"/>
        </w:rPr>
      </w:pPr>
    </w:p>
    <w:p w:rsidR="006C7928" w:rsidRDefault="006C7928">
      <w:pPr>
        <w:ind w:firstLine="600"/>
        <w:rPr>
          <w:rFonts w:ascii="仿宋_GB2312" w:eastAsia="仿宋_GB2312" w:hAnsi="新宋体" w:cs="新宋体"/>
          <w:color w:val="000000"/>
          <w:spacing w:val="-4"/>
          <w:sz w:val="32"/>
          <w:szCs w:val="32"/>
        </w:rPr>
      </w:pPr>
    </w:p>
    <w:sectPr w:rsidR="006C7928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2154" w:right="1814" w:bottom="1701" w:left="181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05F7" w:rsidRDefault="00F705F7">
      <w:r>
        <w:separator/>
      </w:r>
    </w:p>
  </w:endnote>
  <w:endnote w:type="continuationSeparator" w:id="0">
    <w:p w:rsidR="00F705F7" w:rsidRDefault="00F7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方正大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汉仪旗黑-55S">
    <w:charset w:val="86"/>
    <w:family w:val="auto"/>
    <w:pitch w:val="default"/>
    <w:sig w:usb0="A00002BF" w:usb1="18EF7CFA" w:usb2="00000016" w:usb3="00000000" w:csb0="00040000" w:csb1="00000000"/>
  </w:font>
  <w:font w:name="仿宋_GB2312">
    <w:altName w:val="仿宋"/>
    <w:charset w:val="00"/>
    <w:family w:val="auto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928" w:rsidRDefault="006C792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928" w:rsidRDefault="006C792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05F7" w:rsidRDefault="00F705F7">
      <w:r>
        <w:separator/>
      </w:r>
    </w:p>
  </w:footnote>
  <w:footnote w:type="continuationSeparator" w:id="0">
    <w:p w:rsidR="00F705F7" w:rsidRDefault="00F70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928" w:rsidRDefault="006C792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928" w:rsidRDefault="006C7928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7928" w:rsidRDefault="006C792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4C05"/>
    <w:rsid w:val="0000367A"/>
    <w:rsid w:val="00064467"/>
    <w:rsid w:val="00193CC2"/>
    <w:rsid w:val="00271464"/>
    <w:rsid w:val="00311CA6"/>
    <w:rsid w:val="00696ED9"/>
    <w:rsid w:val="006B085F"/>
    <w:rsid w:val="006C7928"/>
    <w:rsid w:val="007A28D7"/>
    <w:rsid w:val="007C4C05"/>
    <w:rsid w:val="007E5994"/>
    <w:rsid w:val="00951A74"/>
    <w:rsid w:val="00A4736E"/>
    <w:rsid w:val="00B8443E"/>
    <w:rsid w:val="00BD566D"/>
    <w:rsid w:val="00E43C89"/>
    <w:rsid w:val="00F705F7"/>
    <w:rsid w:val="03E7023D"/>
    <w:rsid w:val="057E2044"/>
    <w:rsid w:val="099F3FD9"/>
    <w:rsid w:val="0DAE7A8E"/>
    <w:rsid w:val="0FF21241"/>
    <w:rsid w:val="152F1D94"/>
    <w:rsid w:val="17804394"/>
    <w:rsid w:val="19A721B4"/>
    <w:rsid w:val="1E9C4133"/>
    <w:rsid w:val="1EC54D79"/>
    <w:rsid w:val="22CA1568"/>
    <w:rsid w:val="258C4203"/>
    <w:rsid w:val="2DED168F"/>
    <w:rsid w:val="33A10975"/>
    <w:rsid w:val="3669095C"/>
    <w:rsid w:val="38196BBE"/>
    <w:rsid w:val="382D05AE"/>
    <w:rsid w:val="3B244723"/>
    <w:rsid w:val="3E126CC8"/>
    <w:rsid w:val="3EE372C2"/>
    <w:rsid w:val="3FC94C25"/>
    <w:rsid w:val="40090876"/>
    <w:rsid w:val="4B1D494E"/>
    <w:rsid w:val="4E4A559C"/>
    <w:rsid w:val="509F16CF"/>
    <w:rsid w:val="587A440A"/>
    <w:rsid w:val="58EC5B07"/>
    <w:rsid w:val="62FC087B"/>
    <w:rsid w:val="63B311FB"/>
    <w:rsid w:val="690A1B99"/>
    <w:rsid w:val="7A95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0B66ED"/>
  <w15:docId w15:val="{F42E8D76-5F11-42AF-ADFC-8C2521E95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qFormat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unhideWhenUsed="1"/>
    <w:lsdException w:name="HTML Sample" w:semiHidden="1" w:qFormat="1"/>
    <w:lsdException w:name="HTML Typewriter" w:semiHidden="1" w:unhideWhenUsed="1"/>
    <w:lsdException w:name="HTML Variable" w:semiHidden="1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</w:rPr>
  </w:style>
  <w:style w:type="character" w:styleId="a8">
    <w:name w:val="Strong"/>
    <w:uiPriority w:val="99"/>
    <w:qFormat/>
    <w:locked/>
    <w:rPr>
      <w:rFonts w:cs="Times New Roman"/>
      <w:b/>
    </w:rPr>
  </w:style>
  <w:style w:type="character" w:styleId="a9">
    <w:name w:val="FollowedHyperlink"/>
    <w:uiPriority w:val="99"/>
    <w:semiHidden/>
    <w:qFormat/>
    <w:rPr>
      <w:rFonts w:cs="Times New Roman"/>
      <w:color w:val="333333"/>
      <w:u w:val="none"/>
    </w:rPr>
  </w:style>
  <w:style w:type="character" w:styleId="aa">
    <w:name w:val="Emphasis"/>
    <w:uiPriority w:val="99"/>
    <w:qFormat/>
    <w:locked/>
    <w:rPr>
      <w:rFonts w:cs="Times New Roman"/>
      <w:b/>
    </w:rPr>
  </w:style>
  <w:style w:type="character" w:styleId="HTML">
    <w:name w:val="HTML Definition"/>
    <w:uiPriority w:val="99"/>
    <w:semiHidden/>
    <w:qFormat/>
    <w:rPr>
      <w:rFonts w:cs="Times New Roman"/>
    </w:rPr>
  </w:style>
  <w:style w:type="character" w:styleId="HTML0">
    <w:name w:val="HTML Variable"/>
    <w:uiPriority w:val="99"/>
    <w:semiHidden/>
    <w:qFormat/>
    <w:rPr>
      <w:rFonts w:cs="Times New Roman"/>
    </w:rPr>
  </w:style>
  <w:style w:type="character" w:styleId="ab">
    <w:name w:val="Hyperlink"/>
    <w:uiPriority w:val="99"/>
    <w:semiHidden/>
    <w:qFormat/>
    <w:rPr>
      <w:rFonts w:cs="Times New Roman"/>
      <w:color w:val="333333"/>
      <w:u w:val="none"/>
    </w:rPr>
  </w:style>
  <w:style w:type="character" w:styleId="HTML1">
    <w:name w:val="HTML Code"/>
    <w:uiPriority w:val="99"/>
    <w:semiHidden/>
    <w:qFormat/>
    <w:rPr>
      <w:rFonts w:ascii="Courier New" w:hAnsi="Courier New" w:cs="Times New Roman"/>
      <w:sz w:val="20"/>
    </w:rPr>
  </w:style>
  <w:style w:type="character" w:styleId="HTML2">
    <w:name w:val="HTML Cite"/>
    <w:uiPriority w:val="99"/>
    <w:semiHidden/>
    <w:qFormat/>
    <w:rPr>
      <w:rFonts w:cs="Times New Roman"/>
    </w:rPr>
  </w:style>
  <w:style w:type="character" w:styleId="HTML3">
    <w:name w:val="HTML Keyboard"/>
    <w:uiPriority w:val="99"/>
    <w:semiHidden/>
    <w:qFormat/>
    <w:rPr>
      <w:rFonts w:ascii="Courier New" w:hAnsi="Courier New" w:cs="Times New Roman"/>
      <w:color w:val="333333"/>
      <w:sz w:val="20"/>
      <w:u w:val="none"/>
    </w:rPr>
  </w:style>
  <w:style w:type="character" w:styleId="HTML4">
    <w:name w:val="HTML Sample"/>
    <w:uiPriority w:val="99"/>
    <w:semiHidden/>
    <w:qFormat/>
    <w:rPr>
      <w:rFonts w:ascii="Courier New" w:hAnsi="Courier New" w:cs="Times New Roman"/>
    </w:rPr>
  </w:style>
  <w:style w:type="character" w:customStyle="1" w:styleId="a4">
    <w:name w:val="页脚 字符"/>
    <w:link w:val="a3"/>
    <w:uiPriority w:val="99"/>
    <w:semiHidden/>
    <w:qFormat/>
    <w:locked/>
    <w:rPr>
      <w:rFonts w:ascii="Calibri" w:hAnsi="Calibri" w:cs="Times New Roman"/>
      <w:sz w:val="18"/>
      <w:szCs w:val="18"/>
    </w:rPr>
  </w:style>
  <w:style w:type="character" w:customStyle="1" w:styleId="a6">
    <w:name w:val="页眉 字符"/>
    <w:link w:val="a5"/>
    <w:uiPriority w:val="99"/>
    <w:semiHidden/>
    <w:qFormat/>
    <w:locked/>
    <w:rPr>
      <w:rFonts w:ascii="Calibri" w:hAnsi="Calibri" w:cs="Times New Roman"/>
      <w:sz w:val="18"/>
      <w:szCs w:val="18"/>
    </w:rPr>
  </w:style>
  <w:style w:type="character" w:customStyle="1" w:styleId="font2">
    <w:name w:val="font2"/>
    <w:uiPriority w:val="99"/>
    <w:qFormat/>
    <w:rPr>
      <w:rFonts w:cs="Times New Roman"/>
    </w:rPr>
  </w:style>
  <w:style w:type="character" w:customStyle="1" w:styleId="font3">
    <w:name w:val="font3"/>
    <w:uiPriority w:val="99"/>
    <w:qFormat/>
    <w:rPr>
      <w:rFonts w:cs="Times New Roman"/>
    </w:rPr>
  </w:style>
  <w:style w:type="character" w:customStyle="1" w:styleId="hj-easyread-speakerprocesser-position-action-icon">
    <w:name w:val="hj-easyread-speakerprocesser-position-action-icon"/>
    <w:uiPriority w:val="99"/>
    <w:qFormat/>
    <w:rPr>
      <w:rFonts w:cs="Times New Roman"/>
    </w:rPr>
  </w:style>
  <w:style w:type="character" w:customStyle="1" w:styleId="font">
    <w:name w:val="font"/>
    <w:uiPriority w:val="99"/>
    <w:qFormat/>
    <w:rPr>
      <w:rFonts w:cs="Times New Roman"/>
    </w:rPr>
  </w:style>
  <w:style w:type="character" w:customStyle="1" w:styleId="font1">
    <w:name w:val="font1"/>
    <w:uiPriority w:val="99"/>
    <w:qFormat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2014-10-29T12:08:00Z</dcterms:created>
  <dcterms:modified xsi:type="dcterms:W3CDTF">2023-03-03T03:32:00Z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