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beforeLines="0" w:afterLines="0" w:line="640" w:lineRule="exact"/>
        <w:jc w:val="center"/>
        <w:rPr>
          <w:rFonts w:hint="eastAsia" w:ascii="方正大标宋简体" w:hAnsi="方正大标宋简体" w:eastAsia="方正大标宋简体"/>
          <w:sz w:val="44"/>
          <w:szCs w:val="24"/>
          <w:lang w:val="en-US" w:eastAsia="zh-CN"/>
        </w:rPr>
      </w:pPr>
      <w:r>
        <w:rPr>
          <w:rFonts w:hint="eastAsia" w:ascii="方正大标宋简体" w:hAnsi="方正大标宋简体" w:eastAsia="方正大标宋简体"/>
          <w:sz w:val="44"/>
          <w:szCs w:val="24"/>
          <w:lang w:val="en-US" w:eastAsia="zh-CN"/>
        </w:rPr>
        <w:t>溆浦县妇幼保健计划生育服务中心</w:t>
      </w:r>
    </w:p>
    <w:p>
      <w:pPr>
        <w:widowControl w:val="0"/>
        <w:spacing w:beforeLines="0" w:afterLines="0" w:line="640" w:lineRule="exact"/>
        <w:jc w:val="center"/>
        <w:rPr>
          <w:rFonts w:hint="eastAsia" w:ascii="方正大标宋简体" w:hAnsi="方正大标宋简体" w:eastAsia="方正大标宋简体"/>
          <w:sz w:val="44"/>
          <w:szCs w:val="24"/>
          <w:lang w:val="en-US" w:eastAsia="zh-CN"/>
        </w:rPr>
      </w:pPr>
      <w:r>
        <w:rPr>
          <w:rFonts w:hint="eastAsia" w:ascii="方正大标宋简体" w:hAnsi="方正大标宋简体" w:eastAsia="方正大标宋简体"/>
          <w:sz w:val="44"/>
          <w:szCs w:val="24"/>
          <w:lang w:val="en-US" w:eastAsia="zh-CN"/>
        </w:rPr>
        <w:t>2022年部门整体支出绩效自评报告</w:t>
      </w:r>
    </w:p>
    <w:p>
      <w:pPr>
        <w:spacing w:beforeLines="0" w:afterLines="0"/>
        <w:ind w:firstLine="1104" w:firstLineChars="250"/>
        <w:jc w:val="center"/>
        <w:outlineLvl w:val="0"/>
        <w:rPr>
          <w:rFonts w:hint="eastAsia" w:ascii="仿宋" w:hAnsi="仿宋" w:eastAsia="仿宋"/>
          <w:b/>
          <w:sz w:val="44"/>
          <w:szCs w:val="24"/>
          <w:lang w:val="en-US" w:eastAsia="zh-CN"/>
        </w:rPr>
      </w:pPr>
    </w:p>
    <w:p>
      <w:pPr>
        <w:widowControl w:val="0"/>
        <w:spacing w:beforeLines="0" w:afterLines="0" w:line="580" w:lineRule="exact"/>
        <w:ind w:firstLine="640" w:firstLineChars="200"/>
        <w:rPr>
          <w:rFonts w:hint="default" w:ascii="黑体" w:hAnsi="黑体" w:eastAsia="黑体"/>
          <w:sz w:val="32"/>
          <w:szCs w:val="24"/>
          <w:lang w:val="en-US" w:eastAsia="zh-CN"/>
        </w:rPr>
      </w:pPr>
      <w:r>
        <w:rPr>
          <w:rFonts w:hint="eastAsia" w:ascii="黑体" w:hAnsi="黑体" w:eastAsia="黑体"/>
          <w:sz w:val="32"/>
          <w:szCs w:val="24"/>
          <w:lang w:val="en-US" w:eastAsia="zh-CN"/>
        </w:rPr>
        <w:t>一、部门概括</w:t>
      </w:r>
    </w:p>
    <w:p>
      <w:pPr>
        <w:widowControl w:val="0"/>
        <w:spacing w:beforeLines="0" w:afterLines="0" w:line="580" w:lineRule="exact"/>
        <w:ind w:firstLine="640" w:firstLineChars="200"/>
        <w:rPr>
          <w:rFonts w:hint="eastAsia" w:ascii="仿宋_GB2312" w:hAnsi="仿宋_GB2312" w:eastAsia="仿宋_GB2312" w:cs="Times New Roman"/>
          <w:sz w:val="32"/>
          <w:szCs w:val="24"/>
          <w:lang w:val="en-US" w:eastAsia="zh-CN"/>
        </w:rPr>
      </w:pPr>
      <w:r>
        <w:rPr>
          <w:rFonts w:hint="eastAsia" w:ascii="仿宋_GB2312" w:hAnsi="仿宋_GB2312" w:eastAsia="仿宋_GB2312" w:cs="Times New Roman"/>
          <w:sz w:val="32"/>
          <w:szCs w:val="24"/>
          <w:lang w:val="en-US" w:eastAsia="zh-CN"/>
        </w:rPr>
        <w:t>本单位是一所全额拨款事业单位，核定编制 124名，实有人数142人,其中事业</w:t>
      </w:r>
      <w:bookmarkStart w:id="0" w:name="_GoBack"/>
      <w:bookmarkEnd w:id="0"/>
      <w:r>
        <w:rPr>
          <w:rFonts w:hint="eastAsia" w:ascii="仿宋_GB2312" w:hAnsi="仿宋_GB2312" w:eastAsia="仿宋_GB2312" w:cs="Times New Roman"/>
          <w:sz w:val="32"/>
          <w:szCs w:val="24"/>
          <w:lang w:val="en-US" w:eastAsia="zh-CN"/>
        </w:rPr>
        <w:t>编制人员60人，临时工45人，退休37人。本单位是一所医疗保健机构，坚持以保健为中心，面向基层，面向群体的妇幼卫生工作方针，开展与妇女儿童健康密切相关的基本医疗服务，主要包括婚前保健、免费婚检、免费两癌、免费优检、免费农村孕产妇住院分娩补助、孕期保健、产后保健、妇科病普查、健康教育、新生儿疾病筛查、儿童早期教育、微量元素检测、婴幼儿听力筛查等服务，切实履行公共卫生职责，圆满的完成了日常工作任务和政府、卫生行政部门下达的指令性任务。</w:t>
      </w:r>
    </w:p>
    <w:p>
      <w:pPr>
        <w:widowControl w:val="0"/>
        <w:spacing w:beforeLines="0" w:afterLines="0" w:line="580" w:lineRule="exact"/>
        <w:ind w:firstLine="640" w:firstLineChars="200"/>
        <w:rPr>
          <w:rFonts w:hint="eastAsia" w:ascii="黑体" w:hAnsi="黑体" w:eastAsia="黑体" w:cs="Times New Roman"/>
          <w:sz w:val="32"/>
          <w:szCs w:val="24"/>
          <w:lang w:val="en-US" w:eastAsia="zh-CN"/>
        </w:rPr>
      </w:pPr>
      <w:r>
        <w:rPr>
          <w:rFonts w:hint="eastAsia" w:ascii="黑体" w:hAnsi="黑体" w:eastAsia="黑体" w:cs="Times New Roman"/>
          <w:sz w:val="32"/>
          <w:szCs w:val="24"/>
          <w:lang w:val="en-US" w:eastAsia="zh-CN"/>
        </w:rPr>
        <w:t>二、部门整体支出管理及使用情况：</w:t>
      </w:r>
    </w:p>
    <w:p>
      <w:pPr>
        <w:widowControl w:val="0"/>
        <w:spacing w:beforeLines="0" w:afterLines="0" w:line="580" w:lineRule="exact"/>
        <w:ind w:firstLine="640" w:firstLineChars="200"/>
        <w:rPr>
          <w:rFonts w:hint="eastAsia" w:ascii="仿宋_GB2312" w:hAnsi="仿宋_GB2312" w:eastAsia="仿宋_GB2312" w:cs="Times New Roman"/>
          <w:color w:val="auto"/>
          <w:sz w:val="32"/>
          <w:szCs w:val="24"/>
          <w:lang w:val="en-US" w:eastAsia="zh-CN"/>
        </w:rPr>
      </w:pPr>
      <w:r>
        <w:rPr>
          <w:rFonts w:hint="eastAsia" w:ascii="仿宋_GB2312" w:hAnsi="仿宋_GB2312" w:eastAsia="仿宋_GB2312" w:cs="Times New Roman"/>
          <w:sz w:val="32"/>
          <w:szCs w:val="24"/>
          <w:lang w:val="en-US" w:eastAsia="zh-CN"/>
        </w:rPr>
        <w:t>（一）基本支出1482.21万元。1、工资福利支出1150.83万元。2、商品和服务支出270.5万元，主要用于日常办公费、印刷费、水电、差旅、专用材料等开支。3、对个人和家庭补助支出10.04万元，4、资本性支出50.84万元，主要用于办公设备购置和专用设备购置。</w:t>
      </w:r>
      <w:r>
        <w:rPr>
          <w:rFonts w:hint="eastAsia" w:ascii="仿宋_GB2312" w:hAnsi="仿宋_GB2312" w:eastAsia="仿宋_GB2312" w:cs="Times New Roman"/>
          <w:color w:val="auto"/>
          <w:sz w:val="32"/>
          <w:szCs w:val="24"/>
          <w:lang w:val="en-US" w:eastAsia="zh-CN"/>
        </w:rPr>
        <w:t>(“三公”支出情况：公务用车购置和维护经费0.05万元、公务接待0.1万元，合计0.15万元）。</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olor w:val="auto"/>
          <w:sz w:val="32"/>
          <w:szCs w:val="24"/>
          <w:lang w:val="en-US" w:eastAsia="zh-CN"/>
        </w:rPr>
        <w:t>（二）专项支出657.47万元。专项支出主要用于免费</w:t>
      </w:r>
      <w:r>
        <w:rPr>
          <w:rFonts w:hint="eastAsia" w:ascii="仿宋_GB2312" w:hAnsi="仿宋_GB2312" w:eastAsia="仿宋_GB2312" w:cs="仿宋_GB2312"/>
          <w:sz w:val="32"/>
          <w:szCs w:val="32"/>
          <w:lang w:val="en-US" w:eastAsia="zh-CN"/>
        </w:rPr>
        <w:t xml:space="preserve">两癌专项、免费婚检、优检、产筛、新筛、艾梅乙、高危孕产妇精准管理等项目。对于专项资金的管理，制定相应的专项资金管理制度，施行专人管理，专款专用。 </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(三)专项资金管理情况：专项资金实行“专人管理、专户储存、专项核算、专项使用”。</w:t>
      </w:r>
    </w:p>
    <w:p>
      <w:pPr>
        <w:widowControl w:val="0"/>
        <w:spacing w:beforeLines="0" w:afterLines="0" w:line="580" w:lineRule="exact"/>
        <w:ind w:firstLine="640" w:firstLineChars="200"/>
        <w:rPr>
          <w:rFonts w:hint="eastAsia" w:ascii="黑体" w:hAnsi="黑体" w:eastAsia="黑体"/>
          <w:color w:val="auto"/>
          <w:sz w:val="32"/>
          <w:szCs w:val="24"/>
          <w:lang w:val="en-US" w:eastAsia="zh-CN"/>
        </w:rPr>
      </w:pPr>
      <w:r>
        <w:rPr>
          <w:rFonts w:hint="eastAsia" w:ascii="黑体" w:hAnsi="黑体" w:eastAsia="黑体"/>
          <w:color w:val="auto"/>
          <w:sz w:val="32"/>
          <w:szCs w:val="24"/>
          <w:lang w:val="en-US" w:eastAsia="zh-CN"/>
        </w:rPr>
        <w:t>三、部门专项组织实施情况</w:t>
      </w:r>
    </w:p>
    <w:p>
      <w:pPr>
        <w:widowControl w:val="0"/>
        <w:spacing w:beforeLines="0" w:afterLines="0"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两癌专项：宫颈癌及乳腺癌检查任务8900例,已完成宫颈癌及乳腺癌筛查10424人,完成率为117.1 %;HPV检测16、18阳性：227人，HPV其他分型阳性、宫颈TCT异常：共   320  人，其中ASC-US  188  人、ASC-H  39 人、LSIL85人、HSIL 8人。宫颈活检异常：CINI级37人、CIN2-3级54人、宫颈癌4人。乳腺异常：共114人，其中 3级 84人，4级 30 人，乳腺癌5人。  </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both"/>
        <w:textAlignment w:val="auto"/>
        <w:outlineLvl w:val="9"/>
        <w:rPr>
          <w:rFonts w:hint="eastAsia" w:ascii="仿宋_GB2312" w:hAnsi="仿宋_GB2312" w:eastAsia="仿宋_GB2312"/>
          <w:color w:val="auto"/>
          <w:sz w:val="32"/>
          <w:szCs w:val="24"/>
          <w:highlight w:val="none"/>
          <w:lang w:val="en-US" w:eastAsia="zh-CN"/>
        </w:rPr>
      </w:pPr>
      <w:r>
        <w:rPr>
          <w:rFonts w:hint="eastAsia" w:ascii="仿宋_GB2312" w:hAnsi="仿宋_GB2312" w:eastAsia="仿宋_GB2312"/>
          <w:color w:val="auto"/>
          <w:sz w:val="32"/>
          <w:szCs w:val="24"/>
          <w:highlight w:val="none"/>
          <w:lang w:val="en-US" w:eastAsia="zh-CN"/>
        </w:rPr>
        <w:t>婚检专项：按照溆政办发【2012】2号文件要求婚检对数占比不得低于结婚登记人次的80%，</w:t>
      </w:r>
      <w:r>
        <w:rPr>
          <w:rFonts w:hint="eastAsia" w:ascii="仿宋_GB2312" w:hAnsi="仿宋_GB2312" w:eastAsia="仿宋_GB2312" w:cs="仿宋_GB2312"/>
          <w:sz w:val="32"/>
          <w:szCs w:val="32"/>
          <w:highlight w:val="none"/>
          <w:lang w:val="en-US" w:eastAsia="zh-CN"/>
        </w:rPr>
        <w:t>2021年12月-2022年11月年完成婚检2305对，2022年结婚登记2437对，完成率94.58%。婚检检查查出问题总人数男148人，女132人，其中指定传染病人数男13人、女3人，性病人数男10人、女37人，生殖系统疾病人数女11人，内科系统疾病人数男123人、女82人。</w:t>
      </w:r>
      <w:r>
        <w:rPr>
          <w:rFonts w:hint="eastAsia" w:ascii="仿宋_GB2312" w:hAnsi="仿宋_GB2312" w:eastAsia="仿宋_GB2312"/>
          <w:color w:val="auto"/>
          <w:sz w:val="32"/>
          <w:szCs w:val="24"/>
          <w:highlight w:val="none"/>
          <w:lang w:val="en-US" w:eastAsia="zh-CN"/>
        </w:rPr>
        <w:t>通过早检查、早诊断、早发现问题解决问题，减少遗传性疾病，降低出生缺陷，提高人口素质。</w:t>
      </w:r>
    </w:p>
    <w:p>
      <w:pPr>
        <w:widowControl w:val="0"/>
        <w:spacing w:beforeLines="0" w:afterLines="0"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优检专项：根据文件要求2021年12-2022年11月完成2949对，任务为2700对，完成率109.22%。早孕随访13807人次，完成率100%，妊娠结局随访508人，完成率100%，，完成评估2949对，完成率100%，其中转诊654人，高危239人。通过早检查、早诊断、早发现提高优生优育，降低出生缺陷，提高人口素质。</w:t>
      </w:r>
    </w:p>
    <w:p>
      <w:pPr>
        <w:widowControl w:val="0"/>
        <w:spacing w:beforeLines="0" w:afterLines="0"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产筛专项：县内免费产前筛查项目2022年度目标任务完成3700例，实际已完成4593例，完成率达到124.13%，其中异常人数807人,转诊807人，干预718人。产筛干预诊断人数797人次。</w:t>
      </w:r>
    </w:p>
    <w:p>
      <w:pPr>
        <w:widowControl w:val="0"/>
        <w:spacing w:beforeLines="0" w:afterLines="0"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先心病专项 : 新生儿先天性心脏病免费筛查2022年度目标任务3700例，实际已完成4713例，完成率达到127.37%，其中异常人数17人，转诊人数17人，确诊患儿0人。</w:t>
      </w:r>
    </w:p>
    <w:p>
      <w:pPr>
        <w:widowControl w:val="0"/>
        <w:spacing w:beforeLines="0" w:afterLines="0"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新生儿筛查专项：新生儿疾病筛查完成，四项4888人次，完成率98.59%；串联4196人次，完成率84.63%，另外地贫2924人次。结果正常4792人，异常96人，其中异常的串联27人，异常四项中G6PD:20人，TSH:6人、17-a-OHP:0人、PKU:0人、高苯丙氨酸血症 1人、异丁酰COA脱氢辅酶缺乏症0人，另外地贫异常69人。新生儿听力筛查完成4805人次，其中33人异常。</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艾梅乙专项：是为预防艾滋病、梅毒、乙肝母婴传播设立的专项，投入项目资金干预母婴传播、最大程度减产疾病的母婴传播，降低艾滋病、梅毒、乙肝对妇女儿童的影响，改善妇女儿童的生活质量及健康水平。艾梅乙专项目标检查人次以当年实际检查人次为准。</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高危孕产妇精准管理专项：为提高围产保健工作质量，规范高危孕产妇的管理，有效降低孕产妇、围产儿死亡率，切实保障母婴的安全与健康，高危孕产妇精准管理专项目标检查人次以当年实际检查人次为准。</w:t>
      </w:r>
    </w:p>
    <w:p>
      <w:pPr>
        <w:widowControl w:val="0"/>
        <w:spacing w:beforeLines="0" w:afterLines="0" w:line="580" w:lineRule="exact"/>
        <w:ind w:firstLine="640" w:firstLineChars="200"/>
        <w:rPr>
          <w:rFonts w:hint="eastAsia" w:ascii="黑体" w:hAnsi="黑体" w:eastAsia="黑体"/>
          <w:sz w:val="32"/>
          <w:szCs w:val="24"/>
          <w:lang w:val="en-US" w:eastAsia="zh-CN"/>
        </w:rPr>
      </w:pPr>
      <w:r>
        <w:rPr>
          <w:rFonts w:hint="eastAsia" w:ascii="黑体" w:hAnsi="黑体" w:eastAsia="黑体"/>
          <w:sz w:val="32"/>
          <w:szCs w:val="24"/>
          <w:lang w:val="en-US" w:eastAsia="zh-CN"/>
        </w:rPr>
        <w:t>四、资产管理情况</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本年度固定资产原值2082.69万元,累计折旧363.77万元，固定资产净值1718.92万元，已全部清理登记在册，安排专人管理，确保国有资产的不流失和使用效益，损坏、丢失、报废按制度处置。</w:t>
      </w:r>
    </w:p>
    <w:p>
      <w:pPr>
        <w:widowControl w:val="0"/>
        <w:numPr>
          <w:ilvl w:val="0"/>
          <w:numId w:val="1"/>
        </w:numPr>
        <w:spacing w:beforeLines="0" w:afterLines="0" w:line="580" w:lineRule="exact"/>
        <w:ind w:firstLine="640" w:firstLineChars="200"/>
        <w:rPr>
          <w:rFonts w:hint="eastAsia" w:ascii="黑体" w:hAnsi="黑体" w:eastAsia="黑体"/>
          <w:color w:val="auto"/>
          <w:sz w:val="32"/>
          <w:szCs w:val="24"/>
          <w:lang w:val="en-US" w:eastAsia="zh-CN"/>
        </w:rPr>
      </w:pPr>
      <w:r>
        <w:rPr>
          <w:rFonts w:hint="eastAsia" w:ascii="黑体" w:hAnsi="黑体" w:eastAsia="黑体"/>
          <w:color w:val="auto"/>
          <w:sz w:val="32"/>
          <w:szCs w:val="24"/>
          <w:lang w:val="en-US" w:eastAsia="zh-CN"/>
        </w:rPr>
        <w:t>部门整体支出绩效情况</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我单位严格按照有关规定，加强资金的使用、管理和监督、做到了厉行节约、专款专用，做到不截留、不挤占、不挪用、不虚列支出，发挥资金的最大使用效益。收入2139.68万元，其中：一般公共预算财政拨款收入1294.84万元、事业收入436.57万元、其他收入408.27万元。支出2139.68万元，分为基本支出1482.21万元、专项支出657.47万元。收支基本平衡，既保证了本单位的正常运转，又严格执行了中央关于改进作风八项规定和厉行节约反对浪费的要求。具体分析如下：</w:t>
      </w:r>
    </w:p>
    <w:p>
      <w:pPr>
        <w:widowControl w:val="0"/>
        <w:numPr>
          <w:ilvl w:val="0"/>
          <w:numId w:val="2"/>
        </w:numPr>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、经济性分析：1、从源头抓起、科学合理编制经费预算。根据中央和省、市、县财政预算改革的有关要求，结合单位实际需要，按标准、按项目科学认真编制部门预算。</w:t>
      </w:r>
    </w:p>
    <w:p>
      <w:pPr>
        <w:widowControl w:val="0"/>
        <w:numPr>
          <w:ilvl w:val="0"/>
          <w:numId w:val="0"/>
        </w:numPr>
        <w:spacing w:beforeLines="0" w:afterLines="0"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2、预算执行方面，支出总额基本控制在预算总额以内，不存在截留或滞留专项资金情况。</w:t>
      </w:r>
    </w:p>
    <w:p>
      <w:pPr>
        <w:widowControl w:val="0"/>
        <w:numPr>
          <w:ilvl w:val="0"/>
          <w:numId w:val="0"/>
        </w:numPr>
        <w:spacing w:beforeLines="0" w:afterLines="0"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（二）、效率性分析：2022年单位能在财政部门规定的相应时间节点，完成各项经费实施进度，总体执行情况达标。</w:t>
      </w:r>
    </w:p>
    <w:p>
      <w:pPr>
        <w:widowControl w:val="0"/>
        <w:numPr>
          <w:ilvl w:val="0"/>
          <w:numId w:val="0"/>
        </w:numPr>
        <w:spacing w:beforeLines="0" w:afterLines="0"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有效性分析：1、狠抓资金使用效益，保障工资绩效足额发放，保障单位正常运转，各项工作顺利开展，资金使用规范，无虚列支出随意使用现象。2、完善财务管理制度，加强资金的使用、管理和监督、做到了厉行节约、专款专用。3、及时完成各项工作，特别是重点民生实施项目两癌筛查及产筛等，在规定时间完成各项任务。</w:t>
      </w:r>
    </w:p>
    <w:p>
      <w:pPr>
        <w:widowControl w:val="0"/>
        <w:spacing w:beforeLines="0" w:afterLines="0" w:line="580" w:lineRule="exact"/>
        <w:ind w:firstLine="640" w:firstLineChars="200"/>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四）、可持续性分析：2022年我单位妇幼工作能在县委、县政府的坚强领导下，在上级主管部门的指导下，始终按照科学发展观的要求，开展全县妇幼工作，切实围绕“预算编制有目标、预算执行有监控、预算完成有评价、评价结果有反馈、反馈结果有应用”的预算绩效管理体系认真开展各项工作，确保妇幼工作的可持续发展。</w:t>
      </w:r>
    </w:p>
    <w:p>
      <w:pPr>
        <w:widowControl w:val="0"/>
        <w:spacing w:beforeLines="0" w:afterLines="0" w:line="580" w:lineRule="exact"/>
        <w:ind w:firstLine="640" w:firstLineChars="200"/>
        <w:rPr>
          <w:rFonts w:hint="eastAsia" w:ascii="黑体" w:hAnsi="黑体" w:eastAsia="黑体"/>
          <w:sz w:val="32"/>
          <w:szCs w:val="24"/>
          <w:lang w:val="en-US" w:eastAsia="zh-CN"/>
        </w:rPr>
      </w:pPr>
      <w:r>
        <w:rPr>
          <w:rFonts w:hint="eastAsia" w:ascii="黑体" w:hAnsi="黑体" w:eastAsia="黑体"/>
          <w:sz w:val="32"/>
          <w:szCs w:val="24"/>
          <w:lang w:val="en-US" w:eastAsia="zh-CN"/>
        </w:rPr>
        <w:t>六、存在主要问题</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一、预算不够精确，预算执行还存在偏差。</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二、婚优检等专项检查人次，随着结婚生产率的下降而逐年下降，并且会有一部分人检查意识淡薄，参与积极性不高，怀孕参检比率较高，一级干预变成二级干预。</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三、新筛随着新生儿出生率下降也逐年下降。</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四、高位孕产妇精准管理宣传力度不大，救助人员不多。</w:t>
      </w:r>
    </w:p>
    <w:p>
      <w:pPr>
        <w:widowControl w:val="0"/>
        <w:spacing w:beforeLines="0" w:afterLines="0" w:line="580" w:lineRule="exact"/>
        <w:ind w:firstLine="640" w:firstLineChars="200"/>
        <w:rPr>
          <w:rFonts w:hint="eastAsia" w:ascii="黑体" w:hAnsi="黑体" w:eastAsia="黑体"/>
          <w:sz w:val="32"/>
          <w:szCs w:val="24"/>
          <w:lang w:val="en-US" w:eastAsia="zh-CN"/>
        </w:rPr>
      </w:pPr>
      <w:r>
        <w:rPr>
          <w:rFonts w:hint="eastAsia" w:ascii="黑体" w:hAnsi="黑体" w:eastAsia="黑体"/>
          <w:sz w:val="32"/>
          <w:szCs w:val="24"/>
          <w:lang w:val="en-US" w:eastAsia="zh-CN"/>
        </w:rPr>
        <w:t>七、改进措施和相关建议</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一、是要加强财务管理，严把支出关，严格执行财务管理制度，规范各项支出审核，严防超支，促进财务管理的法制化、科学化、合理化运行。</w:t>
      </w:r>
    </w:p>
    <w:p>
      <w:pPr>
        <w:widowControl w:val="0"/>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二、加大婚检、优检、高危孕产妇精准管理等专项的宣传力度。</w:t>
      </w:r>
    </w:p>
    <w:p>
      <w:pPr>
        <w:widowControl w:val="0"/>
        <w:spacing w:beforeLines="0" w:afterLines="0" w:line="580" w:lineRule="exact"/>
        <w:ind w:firstLine="640" w:firstLineChars="200"/>
      </w:pPr>
      <w:r>
        <w:rPr>
          <w:rFonts w:hint="eastAsia" w:ascii="仿宋_GB2312" w:hAnsi="仿宋_GB2312" w:eastAsia="仿宋_GB2312" w:cs="仿宋_GB2312"/>
          <w:sz w:val="32"/>
          <w:szCs w:val="32"/>
          <w:lang w:val="en-US" w:eastAsia="zh-CN"/>
        </w:rPr>
        <w:t>三、加强项目管理。加强领导，提高重视，认真研究组织制定出切实可行的管理制度，进一步规范项目管理。</w:t>
      </w:r>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E0A96"/>
    <w:multiLevelType w:val="singleLevel"/>
    <w:tmpl w:val="EDAE0A96"/>
    <w:lvl w:ilvl="0" w:tentative="0">
      <w:start w:val="5"/>
      <w:numFmt w:val="chineseCounting"/>
      <w:suff w:val="nothing"/>
      <w:lvlText w:val="%1、"/>
      <w:lvlJc w:val="left"/>
      <w:rPr>
        <w:rFonts w:hint="eastAsia"/>
      </w:rPr>
    </w:lvl>
  </w:abstractNum>
  <w:abstractNum w:abstractNumId="1">
    <w:nsid w:val="01F426E6"/>
    <w:multiLevelType w:val="singleLevel"/>
    <w:tmpl w:val="01F426E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000000"/>
    <w:rsid w:val="05472020"/>
    <w:rsid w:val="1D446255"/>
    <w:rsid w:val="1EAF1957"/>
    <w:rsid w:val="287F2681"/>
    <w:rsid w:val="29763D94"/>
    <w:rsid w:val="2D8A6789"/>
    <w:rsid w:val="397D4D03"/>
    <w:rsid w:val="3C7563BB"/>
    <w:rsid w:val="3F9F2CA2"/>
    <w:rsid w:val="46800554"/>
    <w:rsid w:val="47385EB2"/>
    <w:rsid w:val="48A7413F"/>
    <w:rsid w:val="48DE5A69"/>
    <w:rsid w:val="4F4C1462"/>
    <w:rsid w:val="57401AE5"/>
    <w:rsid w:val="61426150"/>
    <w:rsid w:val="76E651EF"/>
    <w:rsid w:val="792A1858"/>
    <w:rsid w:val="794013BD"/>
    <w:rsid w:val="796F3D8E"/>
    <w:rsid w:val="7C797ECE"/>
    <w:rsid w:val="7D3B4F57"/>
    <w:rsid w:val="7EE94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Wingdings" w:hAnsi="Wingdings" w:eastAsia="宋体" w:cs="Times New Roman"/>
      <w:kern w:val="2"/>
      <w:sz w:val="21"/>
      <w:szCs w:val="24"/>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2566</Words>
  <Characters>2914</Characters>
  <Lines>0</Lines>
  <Paragraphs>0</Paragraphs>
  <TotalTime>3</TotalTime>
  <ScaleCrop>false</ScaleCrop>
  <LinksUpToDate>false</LinksUpToDate>
  <CharactersWithSpaces>2939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2022-08-30T03:36:00Z</dcterms:created>
  <dc:creator>Administrator</dc:creator>
  <cp:lastModifiedBy>Administrator</cp:lastModifiedBy>
  <dcterms:modified xsi:type="dcterms:W3CDTF">2023-09-12T07:27:37Z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57192B32A5C844E18C621CD20D35A435</vt:lpwstr>
  </property>
</Properties>
</file>