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640" w:lineRule="exact"/>
        <w:ind w:firstLine="436" w:firstLineChars="100"/>
        <w:rPr>
          <w:rFonts w:ascii="黑体" w:hAnsi="黑体" w:eastAsia="黑体"/>
          <w:spacing w:val="-2"/>
          <w:sz w:val="44"/>
          <w:szCs w:val="44"/>
        </w:rPr>
      </w:pPr>
    </w:p>
    <w:p>
      <w:pPr>
        <w:shd w:val="clear" w:color="auto" w:fill="FFFFFF"/>
        <w:spacing w:line="640" w:lineRule="exact"/>
        <w:ind w:left="1104" w:leftChars="109" w:hanging="875" w:hangingChars="200"/>
        <w:rPr>
          <w:rFonts w:ascii="仿宋" w:hAnsi="仿宋" w:eastAsia="仿宋"/>
          <w:b/>
          <w:spacing w:val="-2"/>
          <w:sz w:val="44"/>
          <w:szCs w:val="44"/>
        </w:rPr>
      </w:pPr>
      <w:r>
        <w:rPr>
          <w:rFonts w:hint="eastAsia" w:ascii="仿宋" w:hAnsi="仿宋" w:eastAsia="仿宋"/>
          <w:b/>
          <w:spacing w:val="-2"/>
          <w:sz w:val="44"/>
          <w:szCs w:val="44"/>
        </w:rPr>
        <w:t>溆浦县商业企业改制事务中心2022年</w:t>
      </w:r>
    </w:p>
    <w:p>
      <w:pPr>
        <w:shd w:val="clear" w:color="auto" w:fill="FFFFFF"/>
        <w:spacing w:line="640" w:lineRule="exact"/>
        <w:ind w:left="649" w:leftChars="309" w:firstLine="438" w:firstLineChars="100"/>
        <w:rPr>
          <w:rFonts w:ascii="仿宋" w:hAnsi="仿宋" w:eastAsia="仿宋"/>
          <w:b/>
          <w:spacing w:val="-2"/>
          <w:sz w:val="44"/>
          <w:szCs w:val="44"/>
        </w:rPr>
      </w:pPr>
      <w:r>
        <w:rPr>
          <w:rFonts w:hint="eastAsia" w:ascii="仿宋" w:hAnsi="仿宋" w:eastAsia="仿宋"/>
          <w:b/>
          <w:spacing w:val="-2"/>
          <w:sz w:val="44"/>
          <w:szCs w:val="44"/>
        </w:rPr>
        <w:t>部门整体支出绩效自评报告</w:t>
      </w:r>
    </w:p>
    <w:p>
      <w:pPr>
        <w:spacing w:line="600" w:lineRule="exact"/>
        <w:jc w:val="left"/>
        <w:rPr>
          <w:rFonts w:ascii="仿宋" w:hAnsi="仿宋" w:eastAsia="仿宋"/>
          <w:b/>
          <w:spacing w:val="-2"/>
          <w:sz w:val="32"/>
          <w:szCs w:val="21"/>
        </w:rPr>
      </w:pPr>
    </w:p>
    <w:p>
      <w:pPr>
        <w:spacing w:line="600" w:lineRule="exact"/>
        <w:ind w:firstLine="640" w:firstLineChars="200"/>
        <w:jc w:val="left"/>
        <w:rPr>
          <w:rFonts w:ascii="仿宋" w:hAnsi="仿宋" w:eastAsia="仿宋" w:cs="仿宋_GB2312"/>
          <w:color w:val="000000"/>
          <w:sz w:val="32"/>
          <w:szCs w:val="32"/>
        </w:rPr>
      </w:pPr>
      <w:r>
        <w:rPr>
          <w:rFonts w:hint="eastAsia" w:ascii="仿宋" w:hAnsi="仿宋" w:eastAsia="仿宋" w:cs="仿宋_GB2312"/>
          <w:color w:val="000000"/>
          <w:sz w:val="32"/>
          <w:szCs w:val="32"/>
        </w:rPr>
        <w:t>根据《</w:t>
      </w:r>
      <w:r>
        <w:rPr>
          <w:rFonts w:hint="eastAsia" w:ascii="仿宋" w:hAnsi="仿宋" w:eastAsia="仿宋" w:cs="仿宋_GB2312"/>
          <w:sz w:val="32"/>
          <w:szCs w:val="32"/>
        </w:rPr>
        <w:t>溆浦县财政局关于开展2022年度部门整体支出绩效评价工作的通知</w:t>
      </w:r>
      <w:r>
        <w:rPr>
          <w:rFonts w:hint="eastAsia" w:ascii="仿宋" w:hAnsi="仿宋" w:eastAsia="仿宋" w:cs="仿宋_GB2312"/>
          <w:color w:val="000000"/>
          <w:sz w:val="32"/>
          <w:szCs w:val="32"/>
        </w:rPr>
        <w:t>》（溆财绩函[2023]6号）文件的要求，我单位对2022年度部门整体支出绩效进行了综合评价。经全面综合评价，本单位2022年度部门整体支出绩效自评得分95分。现将有关情况报告如下：</w:t>
      </w:r>
    </w:p>
    <w:p>
      <w:pPr>
        <w:pStyle w:val="4"/>
        <w:numPr>
          <w:ilvl w:val="0"/>
          <w:numId w:val="1"/>
        </w:numPr>
        <w:shd w:val="clear" w:color="auto" w:fill="FFFFFF"/>
        <w:spacing w:before="0" w:beforeAutospacing="0" w:after="0" w:afterAutospacing="0" w:line="600" w:lineRule="exact"/>
        <w:jc w:val="both"/>
        <w:rPr>
          <w:rFonts w:ascii="仿宋" w:hAnsi="仿宋" w:eastAsia="仿宋" w:cs="黑体"/>
          <w:b/>
          <w:color w:val="000000"/>
          <w:sz w:val="32"/>
          <w:szCs w:val="32"/>
        </w:rPr>
      </w:pPr>
      <w:r>
        <w:rPr>
          <w:rFonts w:hint="eastAsia" w:ascii="仿宋" w:hAnsi="仿宋" w:eastAsia="仿宋" w:cs="黑体"/>
          <w:b/>
          <w:color w:val="000000"/>
          <w:sz w:val="32"/>
          <w:szCs w:val="32"/>
        </w:rPr>
        <w:t>部门概况</w:t>
      </w:r>
    </w:p>
    <w:p>
      <w:pPr>
        <w:pStyle w:val="4"/>
        <w:shd w:val="clear" w:color="auto" w:fill="FFFFFF"/>
        <w:spacing w:before="0" w:beforeAutospacing="0" w:after="0" w:afterAutospacing="0" w:line="600" w:lineRule="exact"/>
        <w:jc w:val="both"/>
        <w:rPr>
          <w:rFonts w:ascii="仿宋" w:hAnsi="仿宋" w:eastAsia="仿宋" w:cs="黑体"/>
          <w:b/>
          <w:color w:val="000000"/>
          <w:sz w:val="32"/>
          <w:szCs w:val="32"/>
        </w:rPr>
      </w:pPr>
      <w:r>
        <w:rPr>
          <w:rFonts w:hint="eastAsia" w:ascii="仿宋" w:hAnsi="仿宋" w:eastAsia="仿宋" w:cs="黑体"/>
          <w:b/>
          <w:color w:val="000000"/>
          <w:sz w:val="32"/>
          <w:szCs w:val="32"/>
        </w:rPr>
        <w:t xml:space="preserve">    （一）部门基本情况</w:t>
      </w:r>
    </w:p>
    <w:p>
      <w:pPr>
        <w:spacing w:line="600" w:lineRule="exact"/>
        <w:ind w:firstLine="803" w:firstLineChars="250"/>
        <w:rPr>
          <w:rFonts w:ascii="仿宋" w:hAnsi="仿宋" w:eastAsia="仿宋" w:cs="仿宋_GB2312"/>
          <w:b/>
          <w:bCs/>
          <w:color w:val="000000"/>
          <w:sz w:val="32"/>
          <w:szCs w:val="32"/>
        </w:rPr>
      </w:pPr>
      <w:r>
        <w:rPr>
          <w:rFonts w:hint="eastAsia" w:ascii="仿宋" w:hAnsi="仿宋" w:eastAsia="仿宋" w:cs="仿宋_GB2312"/>
          <w:b/>
          <w:bCs/>
          <w:color w:val="000000"/>
          <w:sz w:val="32"/>
          <w:szCs w:val="32"/>
        </w:rPr>
        <w:t>部门职能概述</w:t>
      </w:r>
    </w:p>
    <w:p>
      <w:pPr>
        <w:widowControl/>
        <w:wordWrap w:val="0"/>
        <w:spacing w:line="500" w:lineRule="exact"/>
        <w:ind w:firstLine="640" w:firstLineChars="200"/>
        <w:jc w:val="left"/>
        <w:rPr>
          <w:rFonts w:ascii="仿宋" w:hAnsi="仿宋" w:eastAsia="仿宋" w:cs="宋体"/>
          <w:kern w:val="0"/>
          <w:sz w:val="32"/>
          <w:szCs w:val="32"/>
        </w:rPr>
      </w:pPr>
      <w:r>
        <w:rPr>
          <w:rFonts w:hint="eastAsia" w:ascii="仿宋" w:hAnsi="仿宋" w:eastAsia="仿宋"/>
          <w:color w:val="000000"/>
          <w:sz w:val="32"/>
          <w:szCs w:val="32"/>
        </w:rPr>
        <w:t>溆浦县商业企业改制事务中心为商务局</w:t>
      </w:r>
      <w:r>
        <w:rPr>
          <w:rFonts w:hint="eastAsia" w:ascii="仿宋" w:hAnsi="仿宋" w:eastAsia="仿宋" w:cs="宋体"/>
          <w:color w:val="000000"/>
          <w:kern w:val="0"/>
          <w:sz w:val="32"/>
          <w:szCs w:val="32"/>
        </w:rPr>
        <w:t>所属</w:t>
      </w:r>
      <w:r>
        <w:rPr>
          <w:rFonts w:hint="eastAsia" w:ascii="仿宋" w:hAnsi="Calibri" w:eastAsia="仿宋" w:cs="宋体"/>
          <w:color w:val="000000"/>
          <w:kern w:val="0"/>
          <w:sz w:val="32"/>
          <w:szCs w:val="32"/>
          <w:u w:val="single"/>
        </w:rPr>
        <w:t>股</w:t>
      </w:r>
      <w:r>
        <w:rPr>
          <w:rFonts w:hint="eastAsia" w:ascii="仿宋" w:hAnsi="仿宋" w:eastAsia="仿宋" w:cs="宋体"/>
          <w:color w:val="000000"/>
          <w:kern w:val="0"/>
          <w:sz w:val="32"/>
          <w:szCs w:val="32"/>
        </w:rPr>
        <w:t>级预算事业单位，</w:t>
      </w:r>
      <w:r>
        <w:rPr>
          <w:rFonts w:hint="eastAsia" w:ascii="仿宋" w:hAnsi="仿宋" w:eastAsia="仿宋" w:cs="宋体"/>
          <w:kern w:val="0"/>
          <w:sz w:val="32"/>
          <w:szCs w:val="32"/>
        </w:rPr>
        <w:t>负责指导全县商业物资企业的改制工作，承担全县国有商业物资企业的改制服务工作；负责所属离退休人员的管理与服务工作；受县人民政府国有资产主管部门的委托，负责所属企业国有资产管理与监督；负责所属企业的信访维稳、安全生产等工作；承办县委、县人民政府交办的其他事项。</w:t>
      </w:r>
    </w:p>
    <w:p>
      <w:pPr>
        <w:widowControl/>
        <w:spacing w:line="315" w:lineRule="atLeast"/>
        <w:ind w:firstLine="480"/>
        <w:rPr>
          <w:rFonts w:ascii="仿宋" w:hAnsi="仿宋" w:eastAsia="仿宋" w:cs="宋体"/>
          <w:color w:val="000000"/>
          <w:kern w:val="0"/>
          <w:sz w:val="32"/>
          <w:szCs w:val="32"/>
        </w:rPr>
      </w:pPr>
      <w:r>
        <w:rPr>
          <w:rFonts w:hint="eastAsia" w:ascii="仿宋" w:hAnsi="仿宋" w:eastAsia="仿宋"/>
          <w:sz w:val="32"/>
          <w:szCs w:val="32"/>
        </w:rPr>
        <w:t>预算机构为商业企改制事务中心本级预算事业单位，属财政预算全额拨款，财务核算适用事业单位会计制度。</w:t>
      </w:r>
    </w:p>
    <w:p>
      <w:pPr>
        <w:pStyle w:val="4"/>
        <w:shd w:val="clear" w:color="auto" w:fill="FFFFFF"/>
        <w:spacing w:before="0" w:beforeAutospacing="0" w:after="0" w:afterAutospacing="0" w:line="620" w:lineRule="exact"/>
        <w:ind w:firstLine="482" w:firstLineChars="150"/>
        <w:jc w:val="both"/>
        <w:rPr>
          <w:rFonts w:ascii="仿宋" w:hAnsi="仿宋" w:eastAsia="仿宋" w:cs="仿宋_GB2312"/>
          <w:b/>
          <w:bCs/>
          <w:color w:val="000000"/>
          <w:sz w:val="32"/>
          <w:szCs w:val="32"/>
        </w:rPr>
      </w:pPr>
      <w:r>
        <w:rPr>
          <w:rFonts w:hint="eastAsia" w:ascii="仿宋" w:hAnsi="仿宋" w:eastAsia="仿宋" w:cs="仿宋_GB2312"/>
          <w:b/>
          <w:bCs/>
          <w:color w:val="000000"/>
          <w:sz w:val="32"/>
          <w:szCs w:val="32"/>
        </w:rPr>
        <w:t xml:space="preserve">部门组织机构及人员情况 </w:t>
      </w:r>
    </w:p>
    <w:p>
      <w:pPr>
        <w:pStyle w:val="4"/>
        <w:shd w:val="clear" w:color="auto" w:fill="FFFFFF"/>
        <w:spacing w:before="0" w:beforeAutospacing="0" w:after="0" w:afterAutospacing="0" w:line="620" w:lineRule="exact"/>
        <w:ind w:firstLine="640" w:firstLineChars="200"/>
        <w:jc w:val="both"/>
        <w:rPr>
          <w:rFonts w:ascii="仿宋" w:hAnsi="仿宋" w:eastAsia="仿宋" w:cs="仿宋_GB2312"/>
          <w:color w:val="000000"/>
          <w:sz w:val="32"/>
          <w:szCs w:val="32"/>
        </w:rPr>
      </w:pPr>
    </w:p>
    <w:p>
      <w:pPr>
        <w:widowControl/>
        <w:wordWrap w:val="0"/>
        <w:spacing w:line="50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本单位为全额拨款事业单位，属溆浦县商务局下属的股级事业单位，内设3个股室 ；下属商业子公司7个；2022年核定编制3个，实有人数3人，其中：事业人员3人。</w:t>
      </w:r>
    </w:p>
    <w:p>
      <w:pPr>
        <w:widowControl/>
        <w:wordWrap w:val="0"/>
        <w:spacing w:line="500" w:lineRule="exact"/>
        <w:ind w:firstLine="643" w:firstLineChars="200"/>
        <w:jc w:val="left"/>
        <w:rPr>
          <w:rFonts w:ascii="仿宋" w:hAnsi="仿宋" w:eastAsia="仿宋" w:cs="宋体"/>
          <w:kern w:val="0"/>
          <w:sz w:val="32"/>
          <w:szCs w:val="32"/>
        </w:rPr>
      </w:pPr>
      <w:r>
        <w:rPr>
          <w:rFonts w:hint="eastAsia" w:ascii="仿宋" w:hAnsi="仿宋" w:eastAsia="仿宋" w:cs="仿宋_GB2312"/>
          <w:b/>
          <w:bCs/>
          <w:color w:val="000000"/>
          <w:sz w:val="32"/>
          <w:szCs w:val="32"/>
        </w:rPr>
        <w:t>2022年度重点工作计划</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在县委、县政府的领导及上级主管局的正确指导下，主要做好以下几个方面的工作：</w:t>
      </w:r>
      <w:r>
        <w:rPr>
          <w:rFonts w:hint="eastAsia" w:ascii="仿宋" w:hAnsi="仿宋" w:eastAsia="仿宋" w:cs="仿宋_GB2312"/>
          <w:b/>
          <w:bCs/>
          <w:sz w:val="32"/>
          <w:szCs w:val="32"/>
        </w:rPr>
        <w:t>一是</w:t>
      </w:r>
      <w:r>
        <w:rPr>
          <w:rFonts w:hint="eastAsia" w:ascii="仿宋" w:hAnsi="仿宋" w:eastAsia="仿宋" w:cs="仿宋"/>
          <w:b/>
          <w:bCs/>
          <w:sz w:val="32"/>
          <w:szCs w:val="32"/>
        </w:rPr>
        <w:t>抓好党建，管好党员。</w:t>
      </w:r>
      <w:r>
        <w:rPr>
          <w:rFonts w:hint="eastAsia" w:ascii="仿宋" w:hAnsi="仿宋" w:eastAsia="仿宋"/>
          <w:sz w:val="32"/>
          <w:szCs w:val="32"/>
        </w:rPr>
        <w:t>党总支把抓好党建工作继续放在首位，做到年初有计划、年中有检查、年终有考核，做到</w:t>
      </w:r>
      <w:r>
        <w:rPr>
          <w:rFonts w:hint="eastAsia" w:ascii="仿宋" w:hAnsi="仿宋" w:eastAsia="仿宋"/>
          <w:bCs/>
          <w:sz w:val="32"/>
          <w:szCs w:val="32"/>
        </w:rPr>
        <w:t>“书记”带头，确保效果，组织活动，强化管理，坚持“五化”建设不放松。</w:t>
      </w:r>
      <w:r>
        <w:rPr>
          <w:rFonts w:hint="eastAsia" w:ascii="仿宋" w:hAnsi="仿宋" w:eastAsia="仿宋"/>
          <w:b/>
          <w:bCs/>
          <w:sz w:val="32"/>
          <w:szCs w:val="32"/>
        </w:rPr>
        <w:t>二是多措并举，破解难题</w:t>
      </w:r>
      <w:r>
        <w:rPr>
          <w:rFonts w:hint="eastAsia" w:ascii="仿宋" w:hAnsi="仿宋" w:eastAsia="仿宋"/>
          <w:sz w:val="32"/>
          <w:szCs w:val="32"/>
        </w:rPr>
        <w:t>。</w:t>
      </w:r>
      <w:r>
        <w:rPr>
          <w:rFonts w:hint="eastAsia" w:ascii="楷体" w:hAnsi="楷体" w:eastAsia="楷体"/>
          <w:sz w:val="32"/>
          <w:szCs w:val="32"/>
        </w:rPr>
        <w:t>落实国有资产管理，对历史遗留问题进行清查索源。</w:t>
      </w:r>
      <w:r>
        <w:rPr>
          <w:rFonts w:hint="eastAsia" w:ascii="仿宋" w:hAnsi="仿宋" w:eastAsia="仿宋"/>
          <w:sz w:val="32"/>
          <w:szCs w:val="32"/>
        </w:rPr>
        <w:t>在新冠肺炎疫情严重冲击下，协助各企业迎难而上，采取多种措施使门面租赁收入稳定在市场行情上。面对养老金欠缴巨大压力，根据各企业实际，采取一定措施，确保下岗职工正常退休得以实现，稳定社会大局。</w:t>
      </w:r>
      <w:r>
        <w:rPr>
          <w:rFonts w:hint="eastAsia" w:ascii="仿宋" w:hAnsi="仿宋" w:eastAsia="仿宋"/>
          <w:b/>
          <w:sz w:val="32"/>
          <w:szCs w:val="32"/>
        </w:rPr>
        <w:t>三是</w:t>
      </w:r>
      <w:r>
        <w:rPr>
          <w:rFonts w:hint="eastAsia" w:ascii="楷体" w:hAnsi="楷体" w:eastAsia="楷体"/>
          <w:b/>
          <w:bCs/>
          <w:sz w:val="32"/>
          <w:szCs w:val="32"/>
        </w:rPr>
        <w:t>抓好安全生产不放松。</w:t>
      </w:r>
      <w:r>
        <w:rPr>
          <w:rFonts w:hint="eastAsia" w:ascii="仿宋" w:hAnsi="仿宋" w:eastAsia="仿宋"/>
          <w:sz w:val="32"/>
          <w:szCs w:val="32"/>
        </w:rPr>
        <w:t>完善“一岗双责”，推行安全生产工作“一季一例会”，每个季度定期对所有门店仓库及办公区域至少进行一次安全隐患大排查。</w:t>
      </w:r>
      <w:r>
        <w:rPr>
          <w:rFonts w:hint="eastAsia" w:ascii="仿宋" w:hAnsi="仿宋" w:eastAsia="仿宋"/>
          <w:b/>
          <w:sz w:val="32"/>
          <w:szCs w:val="32"/>
        </w:rPr>
        <w:t>四是</w:t>
      </w:r>
      <w:r>
        <w:rPr>
          <w:rFonts w:hint="eastAsia" w:ascii="楷体" w:hAnsi="楷体" w:eastAsia="楷体"/>
          <w:b/>
          <w:bCs/>
          <w:sz w:val="32"/>
          <w:szCs w:val="32"/>
        </w:rPr>
        <w:t>综治维稳不放松</w:t>
      </w:r>
      <w:r>
        <w:rPr>
          <w:rFonts w:hint="eastAsia" w:ascii="仿宋" w:hAnsi="仿宋" w:eastAsia="仿宋"/>
          <w:b/>
          <w:bCs/>
          <w:sz w:val="32"/>
          <w:szCs w:val="32"/>
        </w:rPr>
        <w:t>。</w:t>
      </w:r>
      <w:r>
        <w:rPr>
          <w:rFonts w:hint="eastAsia" w:ascii="仿宋" w:hAnsi="仿宋" w:eastAsia="仿宋"/>
          <w:sz w:val="32"/>
          <w:szCs w:val="32"/>
        </w:rPr>
        <w:t>企业维稳，事关商改系统工作大局。因此，始终把解决好下岗职工群体的基本诉求作为我们一切工作的出发点和落脚点。</w:t>
      </w:r>
      <w:r>
        <w:rPr>
          <w:rFonts w:hint="eastAsia" w:ascii="华文楷体" w:hAnsi="华文楷体" w:eastAsia="华文楷体"/>
          <w:b/>
          <w:bCs/>
          <w:sz w:val="32"/>
          <w:szCs w:val="32"/>
        </w:rPr>
        <w:t>五是疫情防控，注意精准。</w:t>
      </w:r>
      <w:r>
        <w:rPr>
          <w:rFonts w:hint="eastAsia" w:ascii="仿宋" w:hAnsi="仿宋" w:eastAsia="仿宋"/>
          <w:sz w:val="32"/>
          <w:szCs w:val="32"/>
        </w:rPr>
        <w:t>按照县委疫情防控指挥部的统一部署，坚持常态化疫情防控，不给上级添麻烦。</w:t>
      </w:r>
      <w:r>
        <w:rPr>
          <w:rFonts w:hint="eastAsia" w:ascii="仿宋" w:hAnsi="仿宋" w:eastAsia="仿宋"/>
          <w:b/>
          <w:sz w:val="32"/>
          <w:szCs w:val="32"/>
        </w:rPr>
        <w:t>六是</w:t>
      </w:r>
      <w:r>
        <w:rPr>
          <w:rFonts w:hint="eastAsia" w:ascii="仿宋" w:hAnsi="仿宋" w:eastAsia="仿宋"/>
          <w:b/>
          <w:bCs/>
          <w:sz w:val="32"/>
          <w:szCs w:val="32"/>
        </w:rPr>
        <w:t>“乡村振兴”，不离不弃。</w:t>
      </w:r>
      <w:r>
        <w:rPr>
          <w:rFonts w:hint="eastAsia" w:ascii="仿宋" w:hAnsi="仿宋" w:eastAsia="仿宋"/>
          <w:sz w:val="32"/>
          <w:szCs w:val="32"/>
        </w:rPr>
        <w:t>按照上级要求，协助参与里木墩村“乡村振兴”工作。</w:t>
      </w:r>
    </w:p>
    <w:p>
      <w:pPr>
        <w:pStyle w:val="10"/>
        <w:spacing w:line="600" w:lineRule="exact"/>
        <w:ind w:firstLine="0" w:firstLineChars="0"/>
        <w:rPr>
          <w:rFonts w:ascii="仿宋" w:hAnsi="仿宋" w:eastAsia="仿宋"/>
          <w:sz w:val="32"/>
          <w:szCs w:val="32"/>
        </w:rPr>
      </w:pPr>
      <w:r>
        <w:rPr>
          <w:rFonts w:hint="eastAsia" w:ascii="仿宋" w:hAnsi="仿宋" w:eastAsia="仿宋"/>
          <w:b/>
          <w:bCs/>
          <w:sz w:val="32"/>
          <w:szCs w:val="32"/>
        </w:rPr>
        <w:t>七是文明创建、积极参与。</w:t>
      </w:r>
      <w:r>
        <w:rPr>
          <w:rFonts w:hint="eastAsia" w:ascii="仿宋" w:hAnsi="仿宋" w:eastAsia="仿宋"/>
          <w:sz w:val="32"/>
          <w:szCs w:val="32"/>
        </w:rPr>
        <w:t>凡是县委县政府统一部署的文明创建、爱国卫生、禁毒控烟等工作，尽一切努力落实到位。</w:t>
      </w:r>
    </w:p>
    <w:p>
      <w:pPr>
        <w:pStyle w:val="4"/>
        <w:shd w:val="clear" w:color="auto" w:fill="FFFFFF"/>
        <w:spacing w:before="0" w:beforeAutospacing="0" w:after="0" w:afterAutospacing="0" w:line="600" w:lineRule="exact"/>
        <w:ind w:firstLine="643" w:firstLineChars="200"/>
        <w:jc w:val="both"/>
        <w:rPr>
          <w:rFonts w:ascii="仿宋" w:hAnsi="仿宋" w:eastAsia="仿宋" w:cs="黑体"/>
          <w:b/>
          <w:sz w:val="32"/>
          <w:szCs w:val="32"/>
        </w:rPr>
      </w:pPr>
      <w:r>
        <w:rPr>
          <w:rFonts w:hint="eastAsia" w:ascii="仿宋" w:hAnsi="仿宋" w:eastAsia="仿宋" w:cs="黑体"/>
          <w:b/>
          <w:color w:val="000000"/>
          <w:sz w:val="32"/>
          <w:szCs w:val="32"/>
        </w:rPr>
        <w:t>（二）部门整体支出规模、使用方向及主要内容</w:t>
      </w:r>
    </w:p>
    <w:p>
      <w:pPr>
        <w:pStyle w:val="4"/>
        <w:shd w:val="clear" w:color="auto" w:fill="FFFFFF"/>
        <w:spacing w:before="0" w:beforeAutospacing="0" w:after="0" w:afterAutospacing="0" w:line="600" w:lineRule="exact"/>
        <w:ind w:firstLine="645"/>
        <w:jc w:val="both"/>
        <w:rPr>
          <w:rFonts w:ascii="仿宋" w:hAnsi="仿宋" w:eastAsia="仿宋"/>
          <w:b/>
          <w:color w:val="000000" w:themeColor="text1"/>
          <w:sz w:val="32"/>
          <w:szCs w:val="32"/>
          <w:shd w:val="clear" w:color="auto" w:fill="FFFFFF"/>
        </w:rPr>
      </w:pPr>
      <w:r>
        <w:rPr>
          <w:rFonts w:hint="eastAsia" w:ascii="仿宋" w:hAnsi="仿宋" w:eastAsia="仿宋"/>
          <w:b/>
          <w:color w:val="000000" w:themeColor="text1"/>
          <w:sz w:val="32"/>
          <w:szCs w:val="32"/>
          <w:shd w:val="clear" w:color="auto" w:fill="FFFFFF"/>
        </w:rPr>
        <w:t>部门整体支出情况</w:t>
      </w:r>
    </w:p>
    <w:p>
      <w:pPr>
        <w:pStyle w:val="4"/>
        <w:shd w:val="clear" w:color="auto" w:fill="FFFFFF"/>
        <w:spacing w:before="0" w:beforeAutospacing="0" w:after="0" w:afterAutospacing="0" w:line="600" w:lineRule="exact"/>
        <w:ind w:firstLine="645"/>
        <w:jc w:val="both"/>
        <w:rPr>
          <w:rFonts w:ascii="仿宋" w:hAnsi="仿宋" w:eastAsia="仿宋"/>
          <w:color w:val="333333"/>
          <w:sz w:val="32"/>
          <w:szCs w:val="32"/>
          <w:shd w:val="clear" w:color="auto" w:fill="FFFFFF"/>
        </w:rPr>
      </w:pPr>
      <w:r>
        <w:rPr>
          <w:rFonts w:hint="eastAsia" w:ascii="仿宋" w:hAnsi="仿宋" w:eastAsia="仿宋"/>
          <w:color w:val="000000" w:themeColor="text1"/>
          <w:sz w:val="32"/>
          <w:szCs w:val="32"/>
          <w:shd w:val="clear" w:color="auto" w:fill="FFFFFF"/>
        </w:rPr>
        <w:t>2022部门整体支出</w:t>
      </w:r>
      <w:r>
        <w:rPr>
          <w:rFonts w:hint="eastAsia" w:ascii="仿宋" w:hAnsi="仿宋" w:eastAsia="仿宋"/>
          <w:color w:val="333333"/>
          <w:sz w:val="32"/>
          <w:szCs w:val="32"/>
          <w:shd w:val="clear" w:color="auto" w:fill="FFFFFF"/>
        </w:rPr>
        <w:t>决算数515.10万元，较上年减少60.67%，其中：一般公共预算财政拨款支出决算数468.17万元，较上年增加 120.85%。其他收入预算46.93万元，较上年减少95.87 %,年初结转结余0万元，总计515.10万元。其中：基本支出预算 117.24万元,项目支出预算397.86万元。2022年项目总支出397.86万元，较上年减少713.03万元，主要是减少企业改制支出。</w:t>
      </w:r>
    </w:p>
    <w:p>
      <w:pPr>
        <w:pStyle w:val="4"/>
        <w:shd w:val="clear" w:color="auto" w:fill="FFFFFF"/>
        <w:spacing w:before="0" w:beforeAutospacing="0" w:after="0" w:afterAutospacing="0" w:line="600" w:lineRule="exact"/>
        <w:ind w:firstLine="645"/>
        <w:jc w:val="both"/>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资金的使用方向为预算单位日常基本支出及拨付2022年所属企业县商业物管办职工安置费及养老保险、商都宾馆拆除补偿款及收回县商业物管办划拨土地补偿款等支出。</w:t>
      </w:r>
    </w:p>
    <w:p>
      <w:pPr>
        <w:pStyle w:val="4"/>
        <w:shd w:val="clear" w:color="auto" w:fill="FFFFFF"/>
        <w:rPr>
          <w:rFonts w:ascii="仿宋" w:hAnsi="仿宋" w:eastAsia="仿宋" w:cs="Arial"/>
          <w:color w:val="333333"/>
          <w:sz w:val="32"/>
          <w:szCs w:val="32"/>
        </w:rPr>
      </w:pPr>
      <w:r>
        <w:rPr>
          <w:rFonts w:hint="eastAsia" w:ascii="仿宋" w:hAnsi="仿宋" w:eastAsia="仿宋" w:cs="Arial"/>
          <w:b/>
          <w:color w:val="333333"/>
          <w:sz w:val="32"/>
          <w:szCs w:val="32"/>
        </w:rPr>
        <w:t xml:space="preserve">    </w:t>
      </w:r>
      <w:r>
        <w:rPr>
          <w:rFonts w:hint="eastAsia" w:ascii="仿宋" w:hAnsi="仿宋" w:eastAsia="仿宋" w:cs="仿宋_GB2312"/>
          <w:b/>
          <w:color w:val="000000"/>
          <w:sz w:val="32"/>
          <w:szCs w:val="32"/>
        </w:rPr>
        <w:t>二、部门整体支出管理及使用情况</w:t>
      </w:r>
    </w:p>
    <w:p>
      <w:pPr>
        <w:pStyle w:val="10"/>
        <w:spacing w:line="640" w:lineRule="exact"/>
        <w:ind w:firstLine="640"/>
        <w:rPr>
          <w:rFonts w:ascii="仿宋" w:hAnsi="仿宋" w:eastAsia="仿宋"/>
          <w:sz w:val="32"/>
        </w:rPr>
      </w:pPr>
      <w:r>
        <w:rPr>
          <w:rFonts w:hint="eastAsia" w:ascii="仿宋" w:hAnsi="仿宋" w:eastAsia="仿宋"/>
          <w:sz w:val="32"/>
        </w:rPr>
        <w:t>我单位本年度已完成当年计划，完成了年度绩效目标。所有项目的日常管理工作均按照我单位相关管理制度执行，建立了工作有计划、实施有方案、日常有监督的管理机制，相关工作都取得了较好的成效，相关困难破产企业能基本平稳运行，并获得了单位职工、社会公众的一致好评。</w:t>
      </w:r>
    </w:p>
    <w:p>
      <w:pPr>
        <w:pStyle w:val="4"/>
        <w:shd w:val="clear" w:color="auto" w:fill="FFFFFF"/>
        <w:ind w:firstLine="643" w:firstLineChars="200"/>
        <w:rPr>
          <w:rFonts w:ascii="仿宋" w:hAnsi="仿宋" w:eastAsia="仿宋" w:cs="Arial"/>
          <w:b/>
          <w:color w:val="333333"/>
          <w:sz w:val="32"/>
          <w:szCs w:val="32"/>
        </w:rPr>
      </w:pPr>
      <w:r>
        <w:rPr>
          <w:rFonts w:hint="eastAsia" w:ascii="仿宋" w:hAnsi="仿宋" w:eastAsia="仿宋" w:cs="Arial"/>
          <w:b/>
          <w:color w:val="333333"/>
          <w:sz w:val="32"/>
          <w:szCs w:val="32"/>
        </w:rPr>
        <w:t>基本支出：</w:t>
      </w:r>
    </w:p>
    <w:p>
      <w:pPr>
        <w:pStyle w:val="4"/>
        <w:shd w:val="clear" w:color="auto" w:fill="FFFFFF"/>
        <w:ind w:firstLine="640" w:firstLineChars="200"/>
        <w:rPr>
          <w:rFonts w:ascii="仿宋" w:hAnsi="仿宋" w:eastAsia="仿宋" w:cs="Arial"/>
          <w:color w:val="333333"/>
          <w:sz w:val="32"/>
          <w:szCs w:val="32"/>
        </w:rPr>
      </w:pPr>
      <w:r>
        <w:rPr>
          <w:rFonts w:hint="eastAsia" w:ascii="仿宋" w:hAnsi="仿宋" w:eastAsia="仿宋" w:cs="Arial"/>
          <w:color w:val="333333"/>
          <w:sz w:val="32"/>
          <w:szCs w:val="32"/>
        </w:rPr>
        <w:t>2022年度基本支出决算数117.24万元，占支出总额515.1的22.76%，主要包括2022年度人员工资福利支出41.44万元，主要支付职工工资津补贴、养老保险、医疗保险等工资福利支出；商品服务费支出74.08万元，主要支付办公费1.68万元、印刷费0.24万元、水电费1.04万元、差旅费1.08万元、房屋维修费30万元、其他交通费用1.95万元、其他商品服务费支出38.09万元（物管办工作经费10万元、物资公司装修款2万元、物管办养老保险费25.92万元）； 对个人和家庭补助支出1.72万元，主要为支付遗属人员生活补助。2022年“三公”经费支出0 万元,本年无“三公”经费支出。</w:t>
      </w:r>
    </w:p>
    <w:p>
      <w:pPr>
        <w:pStyle w:val="4"/>
        <w:shd w:val="clear" w:color="auto" w:fill="FFFFFF"/>
        <w:ind w:firstLine="643" w:firstLineChars="200"/>
        <w:rPr>
          <w:rFonts w:ascii="仿宋" w:hAnsi="仿宋" w:eastAsia="仿宋" w:cs="Arial"/>
          <w:b/>
          <w:color w:val="333333"/>
          <w:sz w:val="32"/>
          <w:szCs w:val="32"/>
        </w:rPr>
      </w:pPr>
      <w:r>
        <w:rPr>
          <w:rFonts w:hint="eastAsia" w:ascii="仿宋" w:hAnsi="仿宋" w:eastAsia="仿宋" w:cs="Arial"/>
          <w:b/>
          <w:color w:val="333333"/>
          <w:sz w:val="32"/>
          <w:szCs w:val="32"/>
        </w:rPr>
        <w:t>项目支出：</w:t>
      </w:r>
    </w:p>
    <w:p>
      <w:pPr>
        <w:pStyle w:val="4"/>
        <w:shd w:val="clear" w:color="auto" w:fill="FFFFFF"/>
        <w:spacing w:before="0" w:beforeAutospacing="0" w:after="0" w:afterAutospacing="0" w:line="600" w:lineRule="exact"/>
        <w:ind w:firstLine="800" w:firstLineChars="250"/>
        <w:jc w:val="both"/>
        <w:rPr>
          <w:rFonts w:hint="eastAsia" w:ascii="仿宋" w:hAnsi="仿宋" w:eastAsia="仿宋" w:cs="仿宋_GB2312"/>
          <w:color w:val="000000"/>
          <w:sz w:val="32"/>
          <w:szCs w:val="32"/>
        </w:rPr>
      </w:pPr>
      <w:r>
        <w:rPr>
          <w:rFonts w:hint="eastAsia" w:ascii="仿宋" w:hAnsi="仿宋" w:eastAsia="仿宋" w:cs="Arial"/>
          <w:color w:val="333333"/>
          <w:sz w:val="32"/>
          <w:szCs w:val="32"/>
        </w:rPr>
        <w:t>项目支出决算数397.86万元，占总支出的77.24%。是单位为完成特定行政工作任务或事业发展目标而发生的支出，包括</w:t>
      </w:r>
      <w:r>
        <w:rPr>
          <w:rFonts w:hint="eastAsia" w:ascii="仿宋" w:hAnsi="仿宋" w:eastAsia="仿宋" w:cs="仿宋_GB2312"/>
          <w:color w:val="000000"/>
          <w:sz w:val="32"/>
          <w:szCs w:val="32"/>
        </w:rPr>
        <w:t>商业物管办职工安置费30万元；商都宾馆拆除补偿资金20万元；收回商业物管办划拨土地补偿款40万元；支付所属企业养老保险307.86万元。</w:t>
      </w:r>
    </w:p>
    <w:p>
      <w:pPr>
        <w:pStyle w:val="4"/>
        <w:shd w:val="clear" w:color="auto" w:fill="FFFFFF"/>
        <w:spacing w:before="0" w:beforeAutospacing="0" w:after="0" w:afterAutospacing="0" w:line="600" w:lineRule="exact"/>
        <w:ind w:firstLine="803" w:firstLineChars="250"/>
        <w:jc w:val="both"/>
        <w:rPr>
          <w:rFonts w:ascii="仿宋" w:hAnsi="仿宋" w:eastAsia="仿宋" w:cs="仿宋_GB2312"/>
          <w:color w:val="000000"/>
          <w:sz w:val="32"/>
          <w:szCs w:val="32"/>
        </w:rPr>
      </w:pPr>
      <w:r>
        <w:rPr>
          <w:rFonts w:hint="eastAsia" w:ascii="仿宋" w:hAnsi="仿宋" w:eastAsia="仿宋"/>
          <w:b/>
          <w:color w:val="333333"/>
          <w:sz w:val="32"/>
          <w:szCs w:val="32"/>
          <w:shd w:val="clear" w:color="auto" w:fill="FFFFFF"/>
        </w:rPr>
        <w:t>收入支出预算执行情况：</w:t>
      </w:r>
    </w:p>
    <w:p>
      <w:pPr>
        <w:pStyle w:val="4"/>
        <w:shd w:val="clear" w:color="auto" w:fill="FFFFFF"/>
        <w:spacing w:before="0" w:beforeAutospacing="0" w:after="0" w:afterAutospacing="0" w:line="600" w:lineRule="exact"/>
        <w:ind w:firstLine="800" w:firstLineChars="250"/>
        <w:jc w:val="both"/>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2022年度收入决算数515.10万元，其中一般公共预算财政拨款收入468.17万元，占总收入的90.89%，其他收入46.93万元，占总收入的9.11%；支出决算数为515.10万元，其中：基本支出决算数117.24万元，占支出的22.76%，项目支出决算数397.86万元，占支出的77.24%.</w:t>
      </w:r>
    </w:p>
    <w:p>
      <w:pPr>
        <w:pStyle w:val="4"/>
        <w:shd w:val="clear" w:color="auto" w:fill="FFFFFF"/>
        <w:ind w:firstLine="643" w:firstLineChars="200"/>
        <w:rPr>
          <w:rFonts w:ascii="仿宋" w:hAnsi="仿宋" w:eastAsia="仿宋" w:cs="黑体"/>
          <w:b/>
          <w:bCs/>
          <w:sz w:val="32"/>
          <w:szCs w:val="32"/>
        </w:rPr>
      </w:pPr>
      <w:bookmarkStart w:id="0" w:name="_Toc390113216"/>
      <w:r>
        <w:rPr>
          <w:rFonts w:hint="eastAsia" w:ascii="仿宋" w:hAnsi="仿宋" w:eastAsia="仿宋" w:cs="黑体"/>
          <w:b/>
          <w:bCs/>
          <w:sz w:val="32"/>
          <w:szCs w:val="32"/>
        </w:rPr>
        <w:t>三、部门专项组织实施情况</w:t>
      </w:r>
      <w:bookmarkEnd w:id="0"/>
    </w:p>
    <w:p>
      <w:pPr>
        <w:pStyle w:val="4"/>
        <w:shd w:val="clear" w:color="auto" w:fill="FFFFFF"/>
        <w:ind w:firstLine="800" w:firstLineChars="250"/>
        <w:rPr>
          <w:rFonts w:ascii="仿宋" w:hAnsi="仿宋" w:eastAsia="仿宋" w:cs="黑体"/>
          <w:b/>
          <w:bCs/>
          <w:sz w:val="32"/>
          <w:szCs w:val="32"/>
        </w:rPr>
      </w:pPr>
      <w:r>
        <w:rPr>
          <w:rFonts w:hint="eastAsia" w:ascii="仿宋" w:hAnsi="仿宋" w:eastAsia="仿宋"/>
          <w:sz w:val="32"/>
        </w:rPr>
        <w:t>2022年本单位所有项目的日常管理工作均按照单位相关管理制度执行，建立了工作有计划、实施有方案、日常有监督的管理机制，相关工作都取得了较好的成效，相关困难破产企业能基本平稳运行，并获得了单位职工、社会公众的一致好评。</w:t>
      </w:r>
    </w:p>
    <w:p>
      <w:pPr>
        <w:pStyle w:val="4"/>
        <w:shd w:val="clear" w:color="auto" w:fill="FFFFFF"/>
        <w:ind w:firstLine="640" w:firstLineChars="200"/>
        <w:rPr>
          <w:rFonts w:ascii="仿宋" w:hAnsi="仿宋" w:eastAsia="仿宋" w:cs="黑体"/>
          <w:b/>
          <w:bCs/>
          <w:sz w:val="32"/>
          <w:szCs w:val="32"/>
        </w:rPr>
      </w:pPr>
      <w:r>
        <w:rPr>
          <w:rFonts w:hint="eastAsia" w:ascii="仿宋" w:hAnsi="仿宋" w:eastAsia="仿宋"/>
          <w:sz w:val="32"/>
        </w:rPr>
        <w:t>2022年我单位严格执行预算，控制各项经费支出，严格按照专项资金管理办法使用资金，确保资金的使用效率。通过项目的实施对经济效益、社会效益、生态效益的发展都有直接或间接好的影响，提高了我办的履职能力，增强了商业企业改制系统和谐稳定，促进了企业职工民生福利的改善，可持续地推动了当地经济和社会的发展，也得到了社会公众的认可。</w:t>
      </w:r>
    </w:p>
    <w:p>
      <w:pPr>
        <w:pStyle w:val="4"/>
        <w:shd w:val="clear" w:color="auto" w:fill="FFFFFF"/>
        <w:spacing w:before="0" w:beforeAutospacing="0" w:after="0" w:afterAutospacing="0" w:line="600" w:lineRule="exact"/>
        <w:ind w:firstLine="482" w:firstLineChars="150"/>
        <w:jc w:val="both"/>
        <w:rPr>
          <w:rFonts w:ascii="仿宋" w:hAnsi="仿宋" w:eastAsia="仿宋" w:cs="黑体"/>
          <w:b/>
          <w:color w:val="000000"/>
          <w:sz w:val="32"/>
          <w:szCs w:val="32"/>
        </w:rPr>
      </w:pPr>
      <w:r>
        <w:rPr>
          <w:rFonts w:hint="eastAsia" w:ascii="仿宋" w:hAnsi="仿宋" w:eastAsia="仿宋" w:cs="黑体"/>
          <w:b/>
          <w:color w:val="000000"/>
          <w:sz w:val="32"/>
          <w:szCs w:val="32"/>
        </w:rPr>
        <w:t xml:space="preserve"> 四、资产管理情况</w:t>
      </w:r>
    </w:p>
    <w:p>
      <w:pPr>
        <w:spacing w:line="600" w:lineRule="exact"/>
        <w:ind w:firstLine="640" w:firstLineChars="200"/>
        <w:rPr>
          <w:rFonts w:ascii="仿宋" w:hAnsi="仿宋" w:eastAsia="仿宋" w:cs="仿宋_GB2312"/>
          <w:kern w:val="0"/>
          <w:sz w:val="32"/>
          <w:szCs w:val="32"/>
        </w:rPr>
      </w:pPr>
      <w:r>
        <w:rPr>
          <w:rFonts w:hint="eastAsia" w:ascii="仿宋" w:hAnsi="仿宋" w:eastAsia="仿宋" w:cs="仿宋_GB2312"/>
          <w:color w:val="000000"/>
          <w:sz w:val="32"/>
          <w:szCs w:val="32"/>
        </w:rPr>
        <w:t>我单位在资产管理方面严格依法依规，单位制定了资产管理办法，对资产申购、采购、分配、保管、处置及责任赔偿等进行了规定。</w:t>
      </w:r>
      <w:r>
        <w:rPr>
          <w:rFonts w:hint="eastAsia" w:ascii="仿宋" w:hAnsi="仿宋" w:eastAsia="仿宋" w:cs="仿宋_GB2312"/>
          <w:sz w:val="32"/>
          <w:szCs w:val="32"/>
        </w:rPr>
        <w:t>对资产均抄册登记，对</w:t>
      </w:r>
      <w:r>
        <w:rPr>
          <w:rFonts w:hint="eastAsia" w:ascii="仿宋" w:hAnsi="仿宋" w:eastAsia="仿宋" w:cs="仿宋_GB2312"/>
          <w:kern w:val="0"/>
          <w:sz w:val="32"/>
          <w:szCs w:val="32"/>
        </w:rPr>
        <w:t>国有资产进行核实，建立好帐卡，对资产实物实行“一物一卡一条码”数据管理</w:t>
      </w:r>
      <w:r>
        <w:rPr>
          <w:rFonts w:hint="eastAsia" w:ascii="仿宋" w:hAnsi="仿宋" w:eastAsia="仿宋" w:cs="仿宋_GB2312"/>
          <w:sz w:val="32"/>
          <w:szCs w:val="32"/>
        </w:rPr>
        <w:t>。本单位资产全部在用，账实相符。对于</w:t>
      </w:r>
      <w:r>
        <w:rPr>
          <w:rFonts w:hint="eastAsia" w:ascii="仿宋" w:hAnsi="仿宋" w:eastAsia="仿宋" w:cs="仿宋_GB2312"/>
          <w:kern w:val="0"/>
          <w:sz w:val="32"/>
          <w:szCs w:val="32"/>
        </w:rPr>
        <w:t>国有资产的处置按照对于资产的管理办法进行，但也存在着处置不及时，人员调动时资产使用人的变更登记不及时、交接手续不全等问题。</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截止2022年12月31日，本单位固定资产账面价值150.24万元，本部门共有公务用车0 辆，其中，机要通信用车0辆，应急保障用0 辆，执法执勤用车 0辆，特种专业技术用车0辆，其他按照规定配备的公务用车 0 辆；单位价值50万元以上通用设备 0台，单位价值100万元以上专用设备 0台。2023年拟新增配置公务用车0 辆，其中，机要通信用车0 辆，应急保障用车0辆，执法执勤用车0辆，特种专业技术用车 0辆，其他按照规定配备的公务用车0辆；新增配备单位价值50万元以上通用设备0台，单位价值100万元以上专用设备0台。</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2022年固定资产年末价值150.24万元，同比上年减少17.06万元，主要是计提固定资产折旧17.06万元。其中资产报废0万元，资产增加0万元，没有无形资产、大型设备、土地，无出租出借资产，无对外投资资产等。</w:t>
      </w:r>
    </w:p>
    <w:p>
      <w:pPr>
        <w:pStyle w:val="4"/>
        <w:shd w:val="clear" w:color="auto" w:fill="FFFFFF"/>
        <w:spacing w:before="0" w:beforeAutospacing="0" w:after="0" w:afterAutospacing="0" w:line="600" w:lineRule="exact"/>
        <w:ind w:firstLine="482" w:firstLineChars="150"/>
        <w:jc w:val="both"/>
        <w:rPr>
          <w:rFonts w:ascii="仿宋" w:hAnsi="仿宋" w:eastAsia="仿宋" w:cs="黑体"/>
          <w:b/>
          <w:color w:val="000000"/>
          <w:sz w:val="32"/>
          <w:szCs w:val="32"/>
        </w:rPr>
      </w:pPr>
      <w:r>
        <w:rPr>
          <w:rFonts w:hint="eastAsia" w:ascii="仿宋" w:hAnsi="仿宋" w:eastAsia="仿宋" w:cs="黑体"/>
          <w:b/>
          <w:color w:val="000000"/>
          <w:sz w:val="32"/>
          <w:szCs w:val="32"/>
        </w:rPr>
        <w:t xml:space="preserve"> 五、部门整体支出绩效情况</w:t>
      </w:r>
    </w:p>
    <w:p>
      <w:pPr>
        <w:ind w:firstLine="640" w:firstLineChars="200"/>
        <w:rPr>
          <w:rFonts w:ascii="仿宋" w:hAnsi="仿宋" w:eastAsia="仿宋"/>
          <w:sz w:val="32"/>
          <w:szCs w:val="32"/>
        </w:rPr>
      </w:pPr>
      <w:r>
        <w:rPr>
          <w:rFonts w:hint="eastAsia" w:ascii="仿宋" w:hAnsi="仿宋" w:eastAsia="仿宋" w:cs="Arial"/>
          <w:color w:val="333333"/>
          <w:sz w:val="32"/>
          <w:szCs w:val="32"/>
        </w:rPr>
        <w:t>2022年，</w:t>
      </w:r>
      <w:r>
        <w:rPr>
          <w:rFonts w:hint="eastAsia" w:ascii="仿宋" w:hAnsi="仿宋" w:eastAsia="仿宋"/>
          <w:sz w:val="32"/>
          <w:szCs w:val="32"/>
        </w:rPr>
        <w:t>我单位在县委县政府、县商务局的正确领导下，始终坚持以习近平新时代中国特色社会主义思想为指导，认真学习贯彻党的十九大、党的二十大会议精神，树牢“四个意识”，坚定“四个自信”，做到“两个维护”，以落实“三高四新”战略为工作着力点，以保障和改善民生为出发点和落脚点，以破解各种难题、力增资产收益和稳定经营收入为抓手，扎实做好安全生产、综治维稳、国有资产保值增值、企业改制、疫情防控、党建、文明创建、乡村振兴等主要工作，积极完成县委县政府和县商务局交办的各项工作任务，基本实现了各企业平稳运行的工作目标。</w:t>
      </w:r>
    </w:p>
    <w:p>
      <w:pPr>
        <w:pStyle w:val="4"/>
        <w:shd w:val="clear" w:color="auto" w:fill="FFFFFF"/>
        <w:ind w:left="105" w:leftChars="50" w:firstLine="320" w:firstLineChars="100"/>
        <w:rPr>
          <w:rFonts w:ascii="仿宋" w:hAnsi="仿宋" w:eastAsia="仿宋" w:cs="黑体"/>
          <w:color w:val="000000"/>
          <w:sz w:val="32"/>
          <w:szCs w:val="32"/>
        </w:rPr>
      </w:pPr>
      <w:r>
        <w:rPr>
          <w:rFonts w:hint="eastAsia" w:ascii="仿宋" w:hAnsi="仿宋" w:eastAsia="仿宋" w:cs="Arial"/>
          <w:color w:val="333333"/>
          <w:sz w:val="32"/>
          <w:szCs w:val="32"/>
        </w:rPr>
        <w:t xml:space="preserve"> </w:t>
      </w:r>
      <w:r>
        <w:rPr>
          <w:rFonts w:hint="eastAsia" w:ascii="仿宋" w:hAnsi="仿宋" w:eastAsia="仿宋" w:cs="Arial"/>
          <w:b/>
          <w:color w:val="333333"/>
          <w:sz w:val="32"/>
          <w:szCs w:val="32"/>
        </w:rPr>
        <w:t>六、</w:t>
      </w:r>
      <w:r>
        <w:rPr>
          <w:rFonts w:hint="eastAsia" w:ascii="仿宋" w:hAnsi="仿宋" w:eastAsia="仿宋" w:cs="黑体"/>
          <w:b/>
          <w:color w:val="000000"/>
          <w:sz w:val="32"/>
          <w:szCs w:val="32"/>
        </w:rPr>
        <w:t>存在的主要问题</w:t>
      </w:r>
      <w:r>
        <w:rPr>
          <w:rFonts w:hint="eastAsia" w:ascii="仿宋" w:hAnsi="仿宋" w:eastAsia="仿宋" w:cs="Arial"/>
          <w:color w:val="333333"/>
          <w:sz w:val="32"/>
          <w:szCs w:val="32"/>
        </w:rPr>
        <w:t xml:space="preserve">                                                                                                                                                                                                                                                                                                                                                                                                                                                                                                                                                                           本单位由于人员少，公用经费预算</w:t>
      </w:r>
      <w:r>
        <w:rPr>
          <w:rFonts w:hint="eastAsia" w:ascii="仿宋" w:hAnsi="仿宋" w:eastAsia="仿宋"/>
          <w:bCs/>
          <w:sz w:val="32"/>
          <w:szCs w:val="32"/>
        </w:rPr>
        <w:t>资金缺口大，危及下岗职工稳定。</w:t>
      </w:r>
      <w:r>
        <w:rPr>
          <w:rFonts w:hint="eastAsia" w:ascii="仿宋" w:hAnsi="仿宋" w:eastAsia="仿宋"/>
          <w:sz w:val="32"/>
          <w:szCs w:val="32"/>
        </w:rPr>
        <w:t>当前，职工养老保险金欠缴历史遗留问题，依然是决定各企业生死的关键指标。由于下属各企业均属于困难企业，历年来欠缴保险金，最高的企业累计已达5000多万元，按照万分之一的复利形式计算，滚雪球式的巨额欠债问题仍然是巧妇难为无米之炊特大问题。</w:t>
      </w:r>
      <w:r>
        <w:rPr>
          <w:rFonts w:hint="eastAsia" w:ascii="楷体" w:hAnsi="楷体" w:eastAsia="楷体"/>
          <w:sz w:val="32"/>
          <w:szCs w:val="32"/>
        </w:rPr>
        <w:t>各企业面临的各种困境始终难以扭转</w:t>
      </w:r>
      <w:r>
        <w:rPr>
          <w:rFonts w:hint="eastAsia" w:ascii="仿宋" w:hAnsi="仿宋" w:eastAsia="仿宋"/>
          <w:sz w:val="32"/>
          <w:szCs w:val="32"/>
        </w:rPr>
        <w:t>。“2.12”火灾遗留问题、二次入伍人员、法轮功习练人员、特困下岗职工弱势群体等问题一直困扰企业，实体门店租赁受网购冲击退店退租现象时有发生、环保整治及新冠肺炎疫情等不利因素的困扰依然严重，门面租赁收入降低趋势和“民爆”产品经营瓶颈，成为收益上不去的老大难问题。</w:t>
      </w:r>
    </w:p>
    <w:p>
      <w:pPr>
        <w:spacing w:line="600" w:lineRule="exact"/>
        <w:ind w:firstLine="643" w:firstLineChars="200"/>
        <w:rPr>
          <w:rFonts w:ascii="仿宋" w:hAnsi="仿宋" w:eastAsia="仿宋" w:cs="仿宋_GB2312"/>
          <w:b/>
          <w:color w:val="000000"/>
          <w:kern w:val="0"/>
          <w:sz w:val="32"/>
          <w:szCs w:val="32"/>
        </w:rPr>
      </w:pPr>
      <w:r>
        <w:rPr>
          <w:rFonts w:hint="eastAsia" w:ascii="仿宋" w:hAnsi="仿宋" w:eastAsia="仿宋" w:cs="仿宋_GB2312"/>
          <w:b/>
          <w:color w:val="000000"/>
          <w:kern w:val="0"/>
          <w:sz w:val="32"/>
          <w:szCs w:val="32"/>
        </w:rPr>
        <w:t>七、改进措施及有关建议</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针对存在的问题及整体支出管理工作的需要，拟提出以下改进措施。</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color w:val="000000"/>
          <w:kern w:val="0"/>
          <w:sz w:val="32"/>
          <w:szCs w:val="32"/>
        </w:rPr>
        <w:t>1.科学合理编制预算，严格执行预算。本着“勤俭节约、保障运转”的原则进行预算的编制，编制范围尽可能的全面，在预算编制时首先要满足固定性的、相对刚性的费用支出项目，尽量压缩变动性的、有控制空间的费用项目；进一步提高预算编制的科学性、合理性和可控性。</w:t>
      </w:r>
    </w:p>
    <w:p>
      <w:pPr>
        <w:pStyle w:val="10"/>
        <w:spacing w:line="600" w:lineRule="exact"/>
        <w:ind w:firstLine="640"/>
        <w:rPr>
          <w:rFonts w:ascii="仿宋" w:hAnsi="仿宋" w:eastAsia="仿宋"/>
          <w:sz w:val="32"/>
          <w:szCs w:val="32"/>
        </w:rPr>
      </w:pPr>
      <w:r>
        <w:rPr>
          <w:rFonts w:hint="eastAsia" w:ascii="仿宋" w:hAnsi="仿宋" w:eastAsia="仿宋" w:cs="仿宋_GB2312"/>
          <w:color w:val="000000"/>
          <w:kern w:val="0"/>
          <w:sz w:val="32"/>
          <w:szCs w:val="32"/>
        </w:rPr>
        <w:t>2、</w:t>
      </w:r>
      <w:r>
        <w:rPr>
          <w:rFonts w:hint="eastAsia" w:ascii="楷体" w:hAnsi="楷体" w:eastAsia="楷体"/>
          <w:sz w:val="32"/>
          <w:szCs w:val="32"/>
        </w:rPr>
        <w:t>强化内控，完善制度</w:t>
      </w:r>
      <w:r>
        <w:rPr>
          <w:rFonts w:hint="eastAsia" w:ascii="仿宋" w:hAnsi="仿宋" w:eastAsia="仿宋"/>
          <w:sz w:val="32"/>
          <w:szCs w:val="32"/>
        </w:rPr>
        <w:t>。结合本单位及各企业的实际，将继续坚持细化党建工作目标管理责任制、考核评比等办法，强化国有资产监管、明晰产权，确保国有资产在市场环境中保值增值。</w:t>
      </w:r>
    </w:p>
    <w:p>
      <w:pPr>
        <w:spacing w:line="60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3、严格财务管理。</w:t>
      </w:r>
      <w:r>
        <w:rPr>
          <w:rFonts w:hint="eastAsia" w:ascii="仿宋" w:hAnsi="仿宋" w:eastAsia="仿宋" w:cs="仿宋_GB2312"/>
          <w:sz w:val="32"/>
          <w:szCs w:val="32"/>
        </w:rPr>
        <w:t>严格财务审核，遵守财务制度，严格按项目和进度执行预算，加强财务管理，提高资金使用效率。</w:t>
      </w:r>
    </w:p>
    <w:p>
      <w:pPr>
        <w:pStyle w:val="10"/>
        <w:spacing w:line="600" w:lineRule="exact"/>
        <w:ind w:firstLine="640"/>
        <w:rPr>
          <w:rFonts w:ascii="仿宋" w:hAnsi="仿宋" w:eastAsia="仿宋"/>
          <w:sz w:val="32"/>
          <w:szCs w:val="32"/>
        </w:rPr>
      </w:pPr>
      <w:r>
        <w:rPr>
          <w:rFonts w:hint="eastAsia" w:ascii="仿宋" w:hAnsi="仿宋" w:eastAsia="仿宋"/>
          <w:sz w:val="32"/>
          <w:szCs w:val="32"/>
        </w:rPr>
        <w:t>4、</w:t>
      </w:r>
      <w:r>
        <w:rPr>
          <w:rFonts w:hint="eastAsia" w:ascii="仿宋" w:hAnsi="仿宋" w:eastAsia="仿宋" w:cs="仿宋"/>
          <w:bCs/>
          <w:sz w:val="32"/>
          <w:szCs w:val="32"/>
        </w:rPr>
        <w:t>群策群力，稳中取胜</w:t>
      </w:r>
      <w:r>
        <w:rPr>
          <w:rFonts w:hint="eastAsia" w:ascii="仿宋" w:hAnsi="仿宋" w:eastAsia="仿宋" w:cs="仿宋"/>
          <w:b/>
          <w:bCs/>
          <w:sz w:val="32"/>
          <w:szCs w:val="32"/>
        </w:rPr>
        <w:t>。</w:t>
      </w:r>
      <w:r>
        <w:rPr>
          <w:rFonts w:hint="eastAsia" w:ascii="仿宋" w:hAnsi="仿宋" w:eastAsia="仿宋"/>
          <w:sz w:val="32"/>
          <w:szCs w:val="32"/>
        </w:rPr>
        <w:t>始终坚持问题导向，引导各企业领导班子要根据自己面临的不同问题，统一疏理、探索思路、找到方法、逐一解决。对哪些影响经济效益和全局稳定、涉及职工民生等问题，要做到早预判、早谋划，早破解。遇到问题不能怕字当头，要有勇气正视问题，脚踏实地解决问题。把每一个矛盾、每一个问题都处理好、解决好，目的在于推动商业、物资这两大块企业平稳健康运行下去，不给职工留后患。</w:t>
      </w:r>
    </w:p>
    <w:p>
      <w:pPr>
        <w:spacing w:line="600" w:lineRule="exact"/>
        <w:rPr>
          <w:rFonts w:ascii="仿宋" w:hAnsi="仿宋" w:eastAsia="仿宋" w:cs="仿宋_GB2312"/>
          <w:color w:val="000000"/>
          <w:sz w:val="32"/>
          <w:szCs w:val="32"/>
        </w:rPr>
      </w:pPr>
    </w:p>
    <w:p>
      <w:pPr>
        <w:pStyle w:val="4"/>
        <w:shd w:val="clear" w:color="auto" w:fill="FFFFFF"/>
        <w:spacing w:before="0" w:beforeAutospacing="0" w:after="0" w:afterAutospacing="0" w:line="600" w:lineRule="exact"/>
        <w:jc w:val="center"/>
        <w:rPr>
          <w:rFonts w:ascii="仿宋" w:hAnsi="仿宋" w:eastAsia="仿宋" w:cs="方正小标宋简体"/>
          <w:bCs/>
          <w:color w:val="000000"/>
          <w:sz w:val="44"/>
          <w:szCs w:val="44"/>
          <w:shd w:val="clear" w:color="auto" w:fill="FFFFFF"/>
        </w:rPr>
      </w:pPr>
      <w:bookmarkStart w:id="1" w:name="_GoBack"/>
      <w:bookmarkEnd w:id="1"/>
    </w:p>
    <w:p>
      <w:pPr>
        <w:rPr>
          <w:rFonts w:ascii="仿宋" w:hAnsi="仿宋" w:eastAsia="仿宋"/>
        </w:rPr>
      </w:pPr>
    </w:p>
    <w:sectPr>
      <w:headerReference r:id="rId3" w:type="default"/>
      <w:footerReference r:id="rId4" w:type="default"/>
      <w:footerReference r:id="rId5" w:type="even"/>
      <w:pgSz w:w="11906" w:h="16838"/>
      <w:pgMar w:top="2155" w:right="1814" w:bottom="1701" w:left="1814" w:header="851" w:footer="1247" w:gutter="0"/>
      <w:pgNumType w:start="8"/>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方正小标宋简体">
    <w:altName w:val="黑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sz w:val="24"/>
        <w:szCs w:val="24"/>
      </w:rPr>
    </w:pPr>
    <w:r>
      <w:rPr>
        <w:rStyle w:val="7"/>
        <w:sz w:val="24"/>
        <w:szCs w:val="24"/>
      </w:rPr>
      <w:fldChar w:fldCharType="begin"/>
    </w:r>
    <w:r>
      <w:rPr>
        <w:rStyle w:val="7"/>
        <w:sz w:val="24"/>
        <w:szCs w:val="24"/>
      </w:rPr>
      <w:instrText xml:space="preserve">PAGE  </w:instrText>
    </w:r>
    <w:r>
      <w:rPr>
        <w:rStyle w:val="7"/>
        <w:sz w:val="24"/>
        <w:szCs w:val="24"/>
      </w:rPr>
      <w:fldChar w:fldCharType="separate"/>
    </w:r>
    <w:r>
      <w:rPr>
        <w:rStyle w:val="7"/>
        <w:sz w:val="24"/>
        <w:szCs w:val="24"/>
      </w:rPr>
      <w:t>16</w:t>
    </w:r>
    <w:r>
      <w:rPr>
        <w:rStyle w:val="7"/>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9</w:t>
    </w:r>
    <w:r>
      <w:rPr>
        <w:rStyle w:val="7"/>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095640"/>
    <w:multiLevelType w:val="multilevel"/>
    <w:tmpl w:val="70095640"/>
    <w:lvl w:ilvl="0" w:tentative="0">
      <w:start w:val="1"/>
      <w:numFmt w:val="japaneseCounting"/>
      <w:lvlText w:val="%1、"/>
      <w:lvlJc w:val="left"/>
      <w:pPr>
        <w:ind w:left="1365" w:hanging="72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1MTJmYzUzYTc5MmNjNjIzMDI1ODE2Mzc2Yzc0NzgifQ=="/>
  </w:docVars>
  <w:rsids>
    <w:rsidRoot w:val="002D2726"/>
    <w:rsid w:val="0000385F"/>
    <w:rsid w:val="000043E9"/>
    <w:rsid w:val="000142BC"/>
    <w:rsid w:val="0002585D"/>
    <w:rsid w:val="00034104"/>
    <w:rsid w:val="00037F79"/>
    <w:rsid w:val="0004399C"/>
    <w:rsid w:val="00067518"/>
    <w:rsid w:val="00087896"/>
    <w:rsid w:val="00095C0C"/>
    <w:rsid w:val="000B2AE4"/>
    <w:rsid w:val="000D26C1"/>
    <w:rsid w:val="000D6FED"/>
    <w:rsid w:val="000E2E8F"/>
    <w:rsid w:val="000F2494"/>
    <w:rsid w:val="0010125D"/>
    <w:rsid w:val="00121D94"/>
    <w:rsid w:val="00147DA9"/>
    <w:rsid w:val="00167064"/>
    <w:rsid w:val="00177584"/>
    <w:rsid w:val="001863D7"/>
    <w:rsid w:val="001A02C8"/>
    <w:rsid w:val="001A192C"/>
    <w:rsid w:val="001C38CC"/>
    <w:rsid w:val="001F16E8"/>
    <w:rsid w:val="002069A9"/>
    <w:rsid w:val="00210903"/>
    <w:rsid w:val="0022395D"/>
    <w:rsid w:val="002354F9"/>
    <w:rsid w:val="00252B6A"/>
    <w:rsid w:val="00265A6D"/>
    <w:rsid w:val="00267E5B"/>
    <w:rsid w:val="0028652A"/>
    <w:rsid w:val="00292B48"/>
    <w:rsid w:val="002C6CB7"/>
    <w:rsid w:val="002C78D3"/>
    <w:rsid w:val="002D2726"/>
    <w:rsid w:val="002D565A"/>
    <w:rsid w:val="002E71B6"/>
    <w:rsid w:val="002F7E15"/>
    <w:rsid w:val="00301AC2"/>
    <w:rsid w:val="00325FFD"/>
    <w:rsid w:val="003730A2"/>
    <w:rsid w:val="003817B5"/>
    <w:rsid w:val="00387111"/>
    <w:rsid w:val="003A3E47"/>
    <w:rsid w:val="003A52B3"/>
    <w:rsid w:val="003D3780"/>
    <w:rsid w:val="003E1E30"/>
    <w:rsid w:val="003E2187"/>
    <w:rsid w:val="004017A6"/>
    <w:rsid w:val="004026A0"/>
    <w:rsid w:val="00415FB0"/>
    <w:rsid w:val="00430B42"/>
    <w:rsid w:val="00447006"/>
    <w:rsid w:val="004561E6"/>
    <w:rsid w:val="00461566"/>
    <w:rsid w:val="00480144"/>
    <w:rsid w:val="0048378A"/>
    <w:rsid w:val="00494AFB"/>
    <w:rsid w:val="004B4A3E"/>
    <w:rsid w:val="004F5E53"/>
    <w:rsid w:val="004F718F"/>
    <w:rsid w:val="00524617"/>
    <w:rsid w:val="00530561"/>
    <w:rsid w:val="00531013"/>
    <w:rsid w:val="00542E64"/>
    <w:rsid w:val="00581FF4"/>
    <w:rsid w:val="0059053F"/>
    <w:rsid w:val="005A51F2"/>
    <w:rsid w:val="005C3843"/>
    <w:rsid w:val="005E7749"/>
    <w:rsid w:val="005E79A2"/>
    <w:rsid w:val="005F1AC8"/>
    <w:rsid w:val="005F6328"/>
    <w:rsid w:val="00604E10"/>
    <w:rsid w:val="006114D2"/>
    <w:rsid w:val="00636DE0"/>
    <w:rsid w:val="00641742"/>
    <w:rsid w:val="00647CB7"/>
    <w:rsid w:val="00655970"/>
    <w:rsid w:val="00656BF3"/>
    <w:rsid w:val="00664DD7"/>
    <w:rsid w:val="00677BA0"/>
    <w:rsid w:val="006830D1"/>
    <w:rsid w:val="006A2949"/>
    <w:rsid w:val="006A7AE4"/>
    <w:rsid w:val="006D3666"/>
    <w:rsid w:val="006D4283"/>
    <w:rsid w:val="00725D05"/>
    <w:rsid w:val="00731F1B"/>
    <w:rsid w:val="0074196C"/>
    <w:rsid w:val="00746190"/>
    <w:rsid w:val="00751A04"/>
    <w:rsid w:val="007562D7"/>
    <w:rsid w:val="00767E64"/>
    <w:rsid w:val="00777BFB"/>
    <w:rsid w:val="007936F2"/>
    <w:rsid w:val="007A0439"/>
    <w:rsid w:val="007B401A"/>
    <w:rsid w:val="007E08E6"/>
    <w:rsid w:val="007E4D20"/>
    <w:rsid w:val="007E7854"/>
    <w:rsid w:val="007F7CFD"/>
    <w:rsid w:val="00813FB8"/>
    <w:rsid w:val="00814697"/>
    <w:rsid w:val="00817E98"/>
    <w:rsid w:val="0082341F"/>
    <w:rsid w:val="0083382B"/>
    <w:rsid w:val="00840968"/>
    <w:rsid w:val="008470C1"/>
    <w:rsid w:val="00853D52"/>
    <w:rsid w:val="0085491B"/>
    <w:rsid w:val="008617EC"/>
    <w:rsid w:val="008669CF"/>
    <w:rsid w:val="008A5C06"/>
    <w:rsid w:val="008C1E5C"/>
    <w:rsid w:val="008D2761"/>
    <w:rsid w:val="008D7FFA"/>
    <w:rsid w:val="008E2777"/>
    <w:rsid w:val="009023F4"/>
    <w:rsid w:val="00923F2F"/>
    <w:rsid w:val="009306F6"/>
    <w:rsid w:val="0096206E"/>
    <w:rsid w:val="0096554D"/>
    <w:rsid w:val="0097099F"/>
    <w:rsid w:val="009812C3"/>
    <w:rsid w:val="009B4801"/>
    <w:rsid w:val="009D41D4"/>
    <w:rsid w:val="009D5BC0"/>
    <w:rsid w:val="009F7190"/>
    <w:rsid w:val="00A12B80"/>
    <w:rsid w:val="00A16779"/>
    <w:rsid w:val="00A21CB3"/>
    <w:rsid w:val="00A2495E"/>
    <w:rsid w:val="00A32F52"/>
    <w:rsid w:val="00A47D9A"/>
    <w:rsid w:val="00A90BB8"/>
    <w:rsid w:val="00A921F1"/>
    <w:rsid w:val="00AA0BCE"/>
    <w:rsid w:val="00AB1DB7"/>
    <w:rsid w:val="00B41E91"/>
    <w:rsid w:val="00B47657"/>
    <w:rsid w:val="00B54ED9"/>
    <w:rsid w:val="00B575C8"/>
    <w:rsid w:val="00B62216"/>
    <w:rsid w:val="00B8530F"/>
    <w:rsid w:val="00B8626D"/>
    <w:rsid w:val="00B9692B"/>
    <w:rsid w:val="00BB1E7D"/>
    <w:rsid w:val="00BB4812"/>
    <w:rsid w:val="00BB62D3"/>
    <w:rsid w:val="00BF4FC2"/>
    <w:rsid w:val="00C05094"/>
    <w:rsid w:val="00C13075"/>
    <w:rsid w:val="00C51C6A"/>
    <w:rsid w:val="00C56293"/>
    <w:rsid w:val="00C73B4A"/>
    <w:rsid w:val="00C76CDD"/>
    <w:rsid w:val="00C81704"/>
    <w:rsid w:val="00C84B7D"/>
    <w:rsid w:val="00C93D0D"/>
    <w:rsid w:val="00CB52B1"/>
    <w:rsid w:val="00CC0B11"/>
    <w:rsid w:val="00CC4055"/>
    <w:rsid w:val="00CD7415"/>
    <w:rsid w:val="00CE37BD"/>
    <w:rsid w:val="00D010E6"/>
    <w:rsid w:val="00D013BC"/>
    <w:rsid w:val="00D02B27"/>
    <w:rsid w:val="00D032C3"/>
    <w:rsid w:val="00D138FB"/>
    <w:rsid w:val="00D22EEB"/>
    <w:rsid w:val="00D330E9"/>
    <w:rsid w:val="00D50305"/>
    <w:rsid w:val="00D5540C"/>
    <w:rsid w:val="00D55BC1"/>
    <w:rsid w:val="00D73441"/>
    <w:rsid w:val="00D74CE5"/>
    <w:rsid w:val="00D90DA1"/>
    <w:rsid w:val="00D951BC"/>
    <w:rsid w:val="00D96CD3"/>
    <w:rsid w:val="00DA3EC4"/>
    <w:rsid w:val="00DB1A24"/>
    <w:rsid w:val="00DB372F"/>
    <w:rsid w:val="00DB5D43"/>
    <w:rsid w:val="00DF5C2D"/>
    <w:rsid w:val="00E40B33"/>
    <w:rsid w:val="00E6381B"/>
    <w:rsid w:val="00E71535"/>
    <w:rsid w:val="00E8678E"/>
    <w:rsid w:val="00E934D4"/>
    <w:rsid w:val="00E96024"/>
    <w:rsid w:val="00EB14B7"/>
    <w:rsid w:val="00ED1A68"/>
    <w:rsid w:val="00ED5553"/>
    <w:rsid w:val="00EE1B9C"/>
    <w:rsid w:val="00EF19AB"/>
    <w:rsid w:val="00F03079"/>
    <w:rsid w:val="00F06BF2"/>
    <w:rsid w:val="00F20B8A"/>
    <w:rsid w:val="00F24F5B"/>
    <w:rsid w:val="00F43B6E"/>
    <w:rsid w:val="00F43C25"/>
    <w:rsid w:val="00F45C5E"/>
    <w:rsid w:val="00F5641E"/>
    <w:rsid w:val="00F7476D"/>
    <w:rsid w:val="00F82466"/>
    <w:rsid w:val="00FB4D12"/>
    <w:rsid w:val="00FC06BC"/>
    <w:rsid w:val="00FC3757"/>
    <w:rsid w:val="00FC4E5E"/>
    <w:rsid w:val="00FD4115"/>
    <w:rsid w:val="00FE79EA"/>
    <w:rsid w:val="1C410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iPriority w:val="99"/>
    <w:pPr>
      <w:widowControl/>
      <w:spacing w:before="100" w:beforeAutospacing="1" w:after="100" w:afterAutospacing="1"/>
      <w:jc w:val="left"/>
    </w:pPr>
    <w:rPr>
      <w:rFonts w:ascii="宋体" w:hAnsi="宋体" w:cs="宋体"/>
      <w:kern w:val="0"/>
      <w:sz w:val="24"/>
    </w:rPr>
  </w:style>
  <w:style w:type="character" w:styleId="7">
    <w:name w:val="page number"/>
    <w:basedOn w:val="6"/>
    <w:uiPriority w:val="0"/>
  </w:style>
  <w:style w:type="character" w:customStyle="1" w:styleId="8">
    <w:name w:val="页眉 Char"/>
    <w:basedOn w:val="6"/>
    <w:link w:val="3"/>
    <w:uiPriority w:val="0"/>
    <w:rPr>
      <w:rFonts w:ascii="Times New Roman" w:hAnsi="Times New Roman" w:eastAsia="宋体" w:cs="Times New Roman"/>
      <w:sz w:val="18"/>
      <w:szCs w:val="18"/>
    </w:rPr>
  </w:style>
  <w:style w:type="character" w:customStyle="1" w:styleId="9">
    <w:name w:val="页脚 Char"/>
    <w:basedOn w:val="6"/>
    <w:link w:val="2"/>
    <w:uiPriority w:val="0"/>
    <w:rPr>
      <w:rFonts w:ascii="Times New Roman" w:hAnsi="Times New Roman" w:eastAsia="宋体" w:cs="Times New Roman"/>
      <w:sz w:val="18"/>
      <w:szCs w:val="18"/>
    </w:rPr>
  </w:style>
  <w:style w:type="paragraph" w:styleId="10">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236C9-24A5-4F71-AE71-7ADD5A7A8D9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3662</Words>
  <Characters>3934</Characters>
  <Lines>32</Lines>
  <Paragraphs>9</Paragraphs>
  <TotalTime>1757</TotalTime>
  <ScaleCrop>false</ScaleCrop>
  <LinksUpToDate>false</LinksUpToDate>
  <CharactersWithSpaces>4518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2019-05-07T01:23:00Z</dcterms:created>
  <dc:creator>PC</dc:creator>
  <cp:lastModifiedBy>Administrator</cp:lastModifiedBy>
  <cp:lastPrinted>2022-07-29T04:35:00Z</cp:lastPrinted>
  <dcterms:modified xsi:type="dcterms:W3CDTF">2023-09-12T07:23:06Z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C5AC1691974145E7A8CC529DBF6F2EE3_12</vt:lpwstr>
  </property>
</Properties>
</file>