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粗黑宋简体" w:hAnsi="方正粗黑宋简体" w:eastAsia="方正粗黑宋简体"/>
          <w:color w:val="333333"/>
          <w:sz w:val="44"/>
          <w:szCs w:val="44"/>
        </w:rPr>
      </w:pPr>
      <w:r>
        <w:rPr>
          <w:rFonts w:hint="eastAsia" w:ascii="方正粗黑宋简体" w:hAnsi="方正粗黑宋简体" w:eastAsia="方正粗黑宋简体"/>
          <w:color w:val="333333"/>
          <w:sz w:val="44"/>
          <w:szCs w:val="44"/>
        </w:rPr>
        <w:t>溆浦县发展和改革局</w:t>
      </w:r>
    </w:p>
    <w:p>
      <w:pPr>
        <w:jc w:val="center"/>
        <w:rPr>
          <w:rFonts w:ascii="方正粗黑宋简体" w:hAnsi="方正粗黑宋简体" w:eastAsia="方正粗黑宋简体"/>
          <w:color w:val="333333"/>
          <w:sz w:val="44"/>
          <w:szCs w:val="44"/>
        </w:rPr>
      </w:pPr>
      <w:r>
        <w:rPr>
          <w:rFonts w:hint="eastAsia" w:ascii="方正粗黑宋简体" w:hAnsi="方正粗黑宋简体" w:eastAsia="方正粗黑宋简体"/>
          <w:color w:val="333333"/>
          <w:sz w:val="44"/>
          <w:szCs w:val="44"/>
          <w:lang w:val="en-US" w:eastAsia="zh-CN"/>
        </w:rPr>
        <w:t>2022年</w:t>
      </w:r>
      <w:r>
        <w:rPr>
          <w:rFonts w:hint="eastAsia" w:ascii="方正粗黑宋简体" w:hAnsi="方正粗黑宋简体" w:eastAsia="方正粗黑宋简体"/>
          <w:color w:val="333333"/>
          <w:sz w:val="44"/>
          <w:szCs w:val="44"/>
        </w:rPr>
        <w:t>预算整体支出绩效自评报告</w:t>
      </w:r>
    </w:p>
    <w:p>
      <w:pPr>
        <w:jc w:val="center"/>
        <w:rPr>
          <w:rFonts w:ascii="仿宋" w:hAnsi="仿宋" w:eastAsia="仿宋"/>
          <w:color w:val="333333"/>
          <w:sz w:val="32"/>
          <w:szCs w:val="32"/>
        </w:rPr>
      </w:pPr>
    </w:p>
    <w:p>
      <w:pPr>
        <w:pStyle w:val="8"/>
        <w:numPr>
          <w:ilvl w:val="0"/>
          <w:numId w:val="1"/>
        </w:numPr>
        <w:ind w:firstLineChars="0"/>
        <w:jc w:val="left"/>
        <w:rPr>
          <w:rFonts w:ascii="黑体" w:hAnsi="黑体" w:eastAsia="黑体"/>
          <w:b/>
          <w:bCs/>
          <w:sz w:val="32"/>
          <w:szCs w:val="32"/>
        </w:rPr>
      </w:pPr>
      <w:r>
        <w:rPr>
          <w:rFonts w:hint="eastAsia" w:ascii="黑体" w:hAnsi="黑体" w:eastAsia="黑体"/>
          <w:b/>
          <w:bCs/>
          <w:sz w:val="32"/>
          <w:szCs w:val="32"/>
        </w:rPr>
        <w:t>部门概况</w:t>
      </w:r>
    </w:p>
    <w:p>
      <w:pPr>
        <w:ind w:left="640"/>
        <w:jc w:val="left"/>
        <w:rPr>
          <w:rFonts w:ascii="仿宋" w:hAnsi="仿宋" w:eastAsia="仿宋"/>
          <w:b/>
          <w:sz w:val="32"/>
          <w:szCs w:val="32"/>
        </w:rPr>
      </w:pPr>
      <w:r>
        <w:rPr>
          <w:rFonts w:hint="eastAsia" w:ascii="仿宋" w:hAnsi="仿宋" w:eastAsia="仿宋"/>
          <w:b/>
          <w:sz w:val="32"/>
          <w:szCs w:val="32"/>
        </w:rPr>
        <w:t>（一）基本情况</w:t>
      </w:r>
    </w:p>
    <w:p>
      <w:pPr>
        <w:widowControl/>
        <w:spacing w:line="600" w:lineRule="exact"/>
        <w:ind w:firstLine="640" w:firstLineChars="200"/>
        <w:rPr>
          <w:rFonts w:hint="eastAsia" w:ascii="仿宋_GB2312" w:hAnsi="宋体" w:eastAsia="仿宋_GB2312" w:cs="宋体"/>
          <w:kern w:val="0"/>
          <w:sz w:val="32"/>
          <w:szCs w:val="32"/>
        </w:rPr>
      </w:pPr>
      <w:r>
        <w:rPr>
          <w:rFonts w:hint="eastAsia" w:ascii="仿宋" w:hAnsi="仿宋" w:eastAsia="仿宋"/>
          <w:sz w:val="32"/>
          <w:szCs w:val="32"/>
          <w:shd w:val="clear" w:color="auto" w:fill="FFFFFF"/>
        </w:rPr>
        <w:t>溆浦县发展和改革局，为县人民政府工作部门，是全额财政拨款行政单位。</w:t>
      </w:r>
      <w:r>
        <w:rPr>
          <w:rFonts w:hint="eastAsia" w:ascii="仿宋" w:hAnsi="仿宋" w:eastAsia="仿宋" w:cs="宋体"/>
          <w:kern w:val="0"/>
          <w:sz w:val="32"/>
          <w:szCs w:val="32"/>
        </w:rPr>
        <w:t xml:space="preserve">内设行政业务职能股室 11 个；二级机构 </w:t>
      </w:r>
      <w:r>
        <w:rPr>
          <w:rFonts w:hint="eastAsia" w:ascii="仿宋" w:hAnsi="仿宋" w:eastAsia="仿宋" w:cs="宋体"/>
          <w:kern w:val="0"/>
          <w:sz w:val="32"/>
          <w:szCs w:val="32"/>
          <w:lang w:val="en-US" w:eastAsia="zh-CN"/>
        </w:rPr>
        <w:t>4</w:t>
      </w:r>
      <w:r>
        <w:rPr>
          <w:rFonts w:hint="eastAsia" w:ascii="仿宋" w:hAnsi="仿宋" w:eastAsia="仿宋" w:cs="宋体"/>
          <w:kern w:val="0"/>
          <w:sz w:val="32"/>
          <w:szCs w:val="32"/>
        </w:rPr>
        <w:t>个，分别是：溆浦县重点建设项目事务中心、溆浦县节能监察中心、溆浦县招投标管理办公室、溆浦县价格认证中心；下属及派出机构 0个；</w:t>
      </w:r>
      <w:r>
        <w:rPr>
          <w:rFonts w:hint="eastAsia" w:ascii="仿宋_GB2312" w:hAnsi="宋体" w:eastAsia="仿宋_GB2312" w:cs="宋体"/>
          <w:kern w:val="0"/>
          <w:sz w:val="32"/>
          <w:szCs w:val="32"/>
        </w:rPr>
        <w:t xml:space="preserve">核定编制49 名，实有人数 </w:t>
      </w:r>
      <w:r>
        <w:rPr>
          <w:rFonts w:hint="eastAsia" w:ascii="仿宋_GB2312" w:hAnsi="宋体" w:eastAsia="仿宋_GB2312" w:cs="宋体"/>
          <w:kern w:val="0"/>
          <w:sz w:val="32"/>
          <w:szCs w:val="32"/>
          <w:lang w:val="en-US" w:eastAsia="zh-CN"/>
        </w:rPr>
        <w:t>67</w:t>
      </w:r>
      <w:r>
        <w:rPr>
          <w:rFonts w:hint="eastAsia" w:ascii="仿宋_GB2312" w:hAnsi="宋体" w:eastAsia="仿宋_GB2312" w:cs="宋体"/>
          <w:kern w:val="0"/>
          <w:sz w:val="32"/>
          <w:szCs w:val="32"/>
        </w:rPr>
        <w:t xml:space="preserve">人，其中：行政人员 </w:t>
      </w:r>
      <w:r>
        <w:rPr>
          <w:rFonts w:hint="eastAsia" w:ascii="仿宋_GB2312" w:hAnsi="宋体" w:eastAsia="仿宋_GB2312" w:cs="宋体"/>
          <w:kern w:val="0"/>
          <w:sz w:val="32"/>
          <w:szCs w:val="32"/>
          <w:lang w:val="en-US" w:eastAsia="zh-CN"/>
        </w:rPr>
        <w:t>38</w:t>
      </w:r>
      <w:r>
        <w:rPr>
          <w:rFonts w:hint="eastAsia" w:ascii="仿宋_GB2312" w:hAnsi="宋体" w:eastAsia="仿宋_GB2312" w:cs="宋体"/>
          <w:kern w:val="0"/>
          <w:sz w:val="32"/>
          <w:szCs w:val="32"/>
        </w:rPr>
        <w:t>人、事业人员</w:t>
      </w:r>
      <w:r>
        <w:rPr>
          <w:rFonts w:hint="eastAsia" w:ascii="仿宋_GB2312" w:hAnsi="宋体" w:eastAsia="仿宋_GB2312" w:cs="宋体"/>
          <w:kern w:val="0"/>
          <w:sz w:val="32"/>
          <w:szCs w:val="32"/>
          <w:lang w:val="en-US" w:eastAsia="zh-CN"/>
        </w:rPr>
        <w:t>29</w:t>
      </w:r>
      <w:r>
        <w:rPr>
          <w:rFonts w:hint="eastAsia" w:ascii="仿宋_GB2312" w:hAnsi="宋体" w:eastAsia="仿宋_GB2312" w:cs="宋体"/>
          <w:kern w:val="0"/>
          <w:sz w:val="32"/>
          <w:szCs w:val="32"/>
        </w:rPr>
        <w:t xml:space="preserve"> 人、工勤人员0人、离退休人员 </w:t>
      </w:r>
      <w:r>
        <w:rPr>
          <w:rFonts w:hint="eastAsia" w:ascii="仿宋_GB2312" w:hAnsi="宋体" w:eastAsia="仿宋_GB2312" w:cs="宋体"/>
          <w:kern w:val="0"/>
          <w:sz w:val="32"/>
          <w:szCs w:val="32"/>
          <w:lang w:val="en-US" w:eastAsia="zh-CN"/>
        </w:rPr>
        <w:t>76</w:t>
      </w:r>
      <w:r>
        <w:rPr>
          <w:rFonts w:hint="eastAsia" w:ascii="仿宋_GB2312" w:hAnsi="宋体" w:eastAsia="仿宋_GB2312" w:cs="宋体"/>
          <w:kern w:val="0"/>
          <w:sz w:val="32"/>
          <w:szCs w:val="32"/>
        </w:rPr>
        <w:t>人。</w:t>
      </w:r>
    </w:p>
    <w:p>
      <w:pPr>
        <w:pStyle w:val="8"/>
        <w:numPr>
          <w:ilvl w:val="0"/>
          <w:numId w:val="2"/>
        </w:numPr>
        <w:ind w:firstLineChars="0"/>
        <w:jc w:val="left"/>
        <w:rPr>
          <w:rFonts w:ascii="仿宋" w:hAnsi="仿宋" w:eastAsia="仿宋" w:cs="宋体"/>
          <w:b/>
          <w:kern w:val="0"/>
          <w:sz w:val="32"/>
          <w:szCs w:val="32"/>
        </w:rPr>
      </w:pPr>
      <w:r>
        <w:rPr>
          <w:rFonts w:hint="eastAsia" w:ascii="仿宋" w:hAnsi="仿宋" w:eastAsia="仿宋" w:cs="宋体"/>
          <w:b/>
          <w:kern w:val="0"/>
          <w:sz w:val="32"/>
          <w:szCs w:val="32"/>
        </w:rPr>
        <w:t>职能</w:t>
      </w:r>
      <w:r>
        <w:rPr>
          <w:rFonts w:hint="eastAsia" w:ascii="仿宋" w:hAnsi="仿宋" w:eastAsia="仿宋" w:cs="宋体"/>
          <w:b/>
          <w:kern w:val="0"/>
          <w:sz w:val="32"/>
          <w:szCs w:val="32"/>
          <w:lang w:eastAsia="zh-CN"/>
        </w:rPr>
        <w:t>职责</w:t>
      </w:r>
    </w:p>
    <w:p>
      <w:pPr>
        <w:widowControl/>
        <w:numPr>
          <w:ilvl w:val="0"/>
          <w:numId w:val="0"/>
        </w:numPr>
        <w:spacing w:line="600" w:lineRule="exact"/>
        <w:rPr>
          <w:rFonts w:ascii="仿宋" w:hAnsi="仿宋" w:eastAsia="仿宋" w:cs="仿宋"/>
          <w:sz w:val="32"/>
          <w:szCs w:val="32"/>
        </w:rPr>
      </w:pPr>
      <w:r>
        <w:rPr>
          <w:rFonts w:hint="eastAsia" w:eastAsia="仿宋_GB2312"/>
          <w:b/>
          <w:kern w:val="0"/>
          <w:sz w:val="32"/>
          <w:szCs w:val="32"/>
          <w:lang w:val="en-US" w:eastAsia="zh-CN"/>
        </w:rPr>
        <w:t xml:space="preserve">    </w:t>
      </w:r>
      <w:r>
        <w:rPr>
          <w:rFonts w:hint="eastAsia" w:ascii="宋体" w:hAnsi="宋体" w:eastAsia="仿宋"/>
          <w:sz w:val="32"/>
          <w:szCs w:val="32"/>
          <w:lang w:val="en-US" w:eastAsia="zh-CN"/>
        </w:rPr>
        <w:t>1、</w:t>
      </w:r>
      <w:r>
        <w:rPr>
          <w:rFonts w:hint="eastAsia" w:ascii="仿宋" w:hAnsi="仿宋" w:eastAsia="仿宋" w:cs="仿宋"/>
          <w:sz w:val="32"/>
          <w:szCs w:val="32"/>
        </w:rPr>
        <w:t>拟订并组织实施全县国民经济和社会发展战略、中长期规划和年度计划。研究拟订全县国民经济和社会发展、经济体制改革和对外开放的有关制度，牵头推进供给侧结构性改革。受县政府委托向县人民代表大会提交国民经济和社会发展计划的报告。</w:t>
      </w:r>
    </w:p>
    <w:p>
      <w:pPr>
        <w:ind w:firstLine="640" w:firstLineChars="200"/>
        <w:rPr>
          <w:rFonts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负责投资综合管理，拟订全县全社会固定资产投资总规模和投资结构的调控目标、政策及措施。统筹安排县级财政性建设资金和投资项目，编制下达政府投资年度计划。规划全县重大建设项目和生产力布局,按权限审批、核准、审核、备案重大项目。会同相关部门组织实施市场准入负面清单制度。</w:t>
      </w:r>
    </w:p>
    <w:p>
      <w:pPr>
        <w:ind w:firstLine="640" w:firstLineChars="200"/>
        <w:rPr>
          <w:rFonts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推进落实区域协调发展战略、新型城镇化战略和重大政策，组织拟订相关区城规划和政策。负责拟定湘南湘西承接产业转移示范区建设、物流枢纽承载城市建设、乡村振兴战略规划和政策。研究制订并统筹促进县内区域协调发展的战略、规划和重大政策。拟订并组织实施全县易地扶贫搬迁、以工代赈规划和计划。</w:t>
      </w:r>
    </w:p>
    <w:p>
      <w:pPr>
        <w:ind w:firstLine="800" w:firstLineChars="250"/>
        <w:rPr>
          <w:rFonts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组织拟订综合性产业政策，负责协调第一、三产业发展的重大问题并统筹衔接相关发展规划和重大政策。负责社会发展与国民经济发展的政策衔接，组织拟订社会发展战略、总体规划。协调社会领域事业和产业发展政策及改革重大问题。推进可持续发展战略，推动生态文明建设和改革，协调生态环境保护与修复、能源资源节约和综合利用等工作。完善固定资产投资项目节能评估和审查制度。研究提出全县能源发展战略、规划、产业政策并组织实施；规划能源重大建设项目布局，按权限核准、审核、申报和安排能源重大建设项目。</w:t>
      </w:r>
    </w:p>
    <w:p>
      <w:pPr>
        <w:ind w:firstLine="640" w:firstLineChars="200"/>
        <w:rPr>
          <w:rFonts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拟订全县价格改革方案和年度计划，研究提出价格调控目标和政策建议，组织实施价格总水平调控。组织起草有关价格收费政策，承担县政府管理的重要商品和服务价格管理工作。承担行政事业性收费管理工作。承担价格监测、市场价格形势分析和涉案物价格鉴证工作。负责价格成本调查和监审。</w:t>
      </w:r>
    </w:p>
    <w:p>
      <w:pPr>
        <w:ind w:firstLine="640" w:firstLineChars="200"/>
        <w:rPr>
          <w:rFonts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牵头组织监督公共资源交易活动，指导、协调全县工程建设项目招标投标工作，负责权限内工程建设项目招标事项核准和县级工业项目招标投标活动的监管。</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研究提出全县粮食宏观调控及粮食流通的中长期规划，拟订全县粮食市场体系建设与发展规划，承担全县粮食流通宏观调控的具体工作。</w:t>
      </w:r>
    </w:p>
    <w:p>
      <w:pPr>
        <w:ind w:firstLine="640" w:firstLineChars="200"/>
        <w:rPr>
          <w:rFonts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管理全县粮食、棉花和食糖储备，负责全县储备粮棉行政管理。监测全县粮食和战略物资供求变化并预测预警，承担全县粮食流通宏观调控的具体工作，承担粮食安全责任制考核日常工作。</w:t>
      </w:r>
    </w:p>
    <w:p>
      <w:pPr>
        <w:ind w:firstLine="640" w:firstLineChars="200"/>
        <w:rPr>
          <w:rFonts w:ascii="仿宋" w:hAnsi="仿宋" w:eastAsia="仿宋" w:cs="仿宋"/>
          <w:sz w:val="32"/>
          <w:szCs w:val="32"/>
        </w:rPr>
      </w:pPr>
      <w:r>
        <w:rPr>
          <w:rFonts w:hint="eastAsia" w:ascii="仿宋" w:hAnsi="仿宋" w:eastAsia="仿宋" w:cs="仿宋"/>
          <w:sz w:val="32"/>
          <w:szCs w:val="32"/>
          <w:lang w:val="en-US" w:eastAsia="zh-CN"/>
        </w:rPr>
        <w:t>9、</w:t>
      </w:r>
      <w:r>
        <w:rPr>
          <w:rFonts w:hint="eastAsia" w:ascii="仿宋" w:hAnsi="仿宋" w:eastAsia="仿宋" w:cs="仿宋"/>
          <w:sz w:val="32"/>
          <w:szCs w:val="32"/>
        </w:rPr>
        <w:t>拟订粮食和物资储备仓储管理有关技术标准和规范并组织实施。负责粮食流通、加工行业安全生产工作的监督管理，承担全县物资储备承储单位安全生产的监管责任。</w:t>
      </w:r>
    </w:p>
    <w:p>
      <w:pPr>
        <w:ind w:firstLine="640" w:firstLineChars="200"/>
        <w:rPr>
          <w:rFonts w:ascii="仿宋" w:hAnsi="仿宋" w:eastAsia="仿宋" w:cs="仿宋"/>
          <w:sz w:val="32"/>
          <w:szCs w:val="32"/>
        </w:rPr>
      </w:pPr>
      <w:r>
        <w:rPr>
          <w:rFonts w:hint="eastAsia" w:ascii="仿宋" w:hAnsi="仿宋" w:eastAsia="仿宋" w:cs="仿宋"/>
          <w:sz w:val="32"/>
          <w:szCs w:val="32"/>
          <w:lang w:val="en-US" w:eastAsia="zh-CN"/>
        </w:rPr>
        <w:t>10、</w:t>
      </w:r>
      <w:r>
        <w:rPr>
          <w:rFonts w:hint="eastAsia" w:ascii="仿宋" w:hAnsi="仿宋" w:eastAsia="仿宋" w:cs="仿宋"/>
          <w:sz w:val="32"/>
          <w:szCs w:val="32"/>
        </w:rPr>
        <w:t>拟订全县储备基础设施、粮食流通设施建设规划并组织实施，管理有关储备基础设施和粮食流通设施全县投资项目。负责对管理的政府储备、企业储备以及储备政策落实情况进行监督检査。负责粮食收购、储存、运输环节粮食质量安全和原粮卫生的监督管理，组织实施全县粮食库存检查工作。</w:t>
      </w:r>
    </w:p>
    <w:p>
      <w:pPr>
        <w:ind w:firstLine="640" w:firstLineChars="200"/>
        <w:rPr>
          <w:rFonts w:ascii="仿宋" w:hAnsi="仿宋" w:eastAsia="仿宋" w:cs="仿宋"/>
          <w:sz w:val="32"/>
          <w:szCs w:val="32"/>
        </w:rPr>
      </w:pPr>
      <w:r>
        <w:rPr>
          <w:rFonts w:hint="eastAsia" w:ascii="仿宋" w:hAnsi="仿宋" w:eastAsia="仿宋" w:cs="仿宋"/>
          <w:sz w:val="32"/>
          <w:szCs w:val="32"/>
          <w:lang w:val="en-US" w:eastAsia="zh-CN"/>
        </w:rPr>
        <w:t>11、</w:t>
      </w:r>
      <w:r>
        <w:rPr>
          <w:rFonts w:hint="eastAsia" w:ascii="仿宋" w:hAnsi="仿宋" w:eastAsia="仿宋" w:cs="仿宋"/>
          <w:sz w:val="32"/>
          <w:szCs w:val="32"/>
        </w:rPr>
        <w:t>负责粮食流通行业管理，制定行业发展规划、政策，拟订粮食流通和物资储备有关标准、粮食质量标准，制定有关技术规范并监督执行。</w:t>
      </w:r>
    </w:p>
    <w:p>
      <w:pPr>
        <w:ind w:firstLine="640" w:firstLineChars="200"/>
        <w:jc w:val="left"/>
        <w:rPr>
          <w:rFonts w:ascii="仿宋" w:hAnsi="仿宋" w:eastAsia="仿宋" w:cs="仿宋"/>
          <w:sz w:val="32"/>
          <w:szCs w:val="32"/>
        </w:rPr>
      </w:pPr>
      <w:r>
        <w:rPr>
          <w:rFonts w:hint="eastAsia" w:ascii="仿宋" w:hAnsi="仿宋" w:eastAsia="仿宋" w:cs="仿宋"/>
          <w:sz w:val="32"/>
          <w:szCs w:val="32"/>
          <w:lang w:val="en-US" w:eastAsia="zh-CN"/>
        </w:rPr>
        <w:t>12、</w:t>
      </w:r>
      <w:r>
        <w:rPr>
          <w:rFonts w:hint="eastAsia" w:ascii="仿宋" w:hAnsi="仿宋" w:eastAsia="仿宋" w:cs="仿宋"/>
          <w:sz w:val="32"/>
          <w:szCs w:val="32"/>
        </w:rPr>
        <w:t>完成县委、县政府交办的其他任务。</w:t>
      </w:r>
    </w:p>
    <w:p>
      <w:pPr>
        <w:ind w:firstLine="643" w:firstLineChars="200"/>
        <w:jc w:val="left"/>
        <w:rPr>
          <w:rFonts w:ascii="仿宋" w:hAnsi="仿宋" w:eastAsia="仿宋"/>
          <w:b/>
          <w:sz w:val="32"/>
          <w:szCs w:val="32"/>
        </w:rPr>
      </w:pPr>
      <w:r>
        <w:rPr>
          <w:rFonts w:hint="eastAsia" w:ascii="仿宋" w:hAnsi="仿宋" w:eastAsia="仿宋"/>
          <w:b/>
          <w:sz w:val="32"/>
          <w:szCs w:val="32"/>
        </w:rPr>
        <w:t>（三）部门整体收支情况</w:t>
      </w:r>
    </w:p>
    <w:p>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2022年</w:t>
      </w:r>
      <w:r>
        <w:rPr>
          <w:rFonts w:hint="eastAsia" w:ascii="仿宋" w:hAnsi="仿宋" w:eastAsia="仿宋"/>
          <w:sz w:val="32"/>
          <w:szCs w:val="32"/>
          <w:lang w:eastAsia="zh-CN"/>
        </w:rPr>
        <w:t>本部门</w:t>
      </w:r>
      <w:r>
        <w:rPr>
          <w:rFonts w:hint="eastAsia" w:ascii="仿宋" w:hAnsi="仿宋" w:eastAsia="仿宋"/>
          <w:sz w:val="32"/>
          <w:szCs w:val="32"/>
        </w:rPr>
        <w:t>收入总额为：</w:t>
      </w:r>
      <w:r>
        <w:rPr>
          <w:rFonts w:hint="eastAsia" w:ascii="仿宋" w:hAnsi="仿宋" w:eastAsia="仿宋"/>
          <w:sz w:val="32"/>
          <w:szCs w:val="32"/>
          <w:lang w:val="en-US" w:eastAsia="zh-CN"/>
        </w:rPr>
        <w:t>2756.34</w:t>
      </w:r>
      <w:r>
        <w:rPr>
          <w:rFonts w:hint="eastAsia" w:ascii="仿宋" w:hAnsi="仿宋" w:eastAsia="仿宋"/>
          <w:sz w:val="32"/>
          <w:szCs w:val="32"/>
        </w:rPr>
        <w:t>万元，其中：当年财政拨款收入</w:t>
      </w:r>
      <w:r>
        <w:rPr>
          <w:rFonts w:hint="eastAsia" w:ascii="仿宋" w:hAnsi="仿宋" w:eastAsia="仿宋"/>
          <w:sz w:val="32"/>
          <w:szCs w:val="32"/>
          <w:lang w:val="en-US" w:eastAsia="zh-CN"/>
        </w:rPr>
        <w:t>2604.94</w:t>
      </w:r>
      <w:r>
        <w:rPr>
          <w:rFonts w:hint="eastAsia" w:ascii="仿宋" w:hAnsi="仿宋" w:eastAsia="仿宋"/>
          <w:sz w:val="32"/>
          <w:szCs w:val="32"/>
        </w:rPr>
        <w:t>万元，其他</w:t>
      </w:r>
      <w:r>
        <w:rPr>
          <w:rFonts w:hint="eastAsia" w:ascii="仿宋" w:hAnsi="仿宋" w:eastAsia="仿宋"/>
          <w:sz w:val="32"/>
          <w:szCs w:val="32"/>
          <w:lang w:eastAsia="zh-CN"/>
        </w:rPr>
        <w:t>收入</w:t>
      </w:r>
      <w:r>
        <w:rPr>
          <w:rFonts w:hint="eastAsia" w:ascii="仿宋" w:hAnsi="仿宋" w:eastAsia="仿宋"/>
          <w:sz w:val="32"/>
          <w:szCs w:val="32"/>
          <w:lang w:val="en-US" w:eastAsia="zh-CN"/>
        </w:rPr>
        <w:t>151.40</w:t>
      </w:r>
      <w:r>
        <w:rPr>
          <w:rFonts w:hint="eastAsia" w:ascii="仿宋" w:hAnsi="仿宋" w:eastAsia="仿宋"/>
          <w:sz w:val="32"/>
          <w:szCs w:val="32"/>
        </w:rPr>
        <w:t>万元。</w:t>
      </w:r>
    </w:p>
    <w:p>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2022年</w:t>
      </w:r>
      <w:r>
        <w:rPr>
          <w:rFonts w:hint="eastAsia" w:ascii="仿宋" w:hAnsi="仿宋" w:eastAsia="仿宋"/>
          <w:sz w:val="32"/>
          <w:szCs w:val="32"/>
        </w:rPr>
        <w:t>本</w:t>
      </w:r>
      <w:r>
        <w:rPr>
          <w:rFonts w:hint="eastAsia" w:ascii="仿宋" w:hAnsi="仿宋" w:eastAsia="仿宋"/>
          <w:sz w:val="32"/>
          <w:szCs w:val="32"/>
          <w:lang w:eastAsia="zh-CN"/>
        </w:rPr>
        <w:t>部门</w:t>
      </w:r>
      <w:r>
        <w:rPr>
          <w:rFonts w:hint="eastAsia" w:ascii="仿宋" w:hAnsi="仿宋" w:eastAsia="仿宋"/>
          <w:sz w:val="32"/>
          <w:szCs w:val="32"/>
        </w:rPr>
        <w:t>支出总额为</w:t>
      </w:r>
      <w:r>
        <w:rPr>
          <w:rFonts w:hint="eastAsia" w:ascii="仿宋" w:hAnsi="仿宋" w:eastAsia="仿宋"/>
          <w:sz w:val="32"/>
          <w:szCs w:val="32"/>
          <w:lang w:val="en-US" w:eastAsia="zh-CN"/>
        </w:rPr>
        <w:t>2756.34</w:t>
      </w:r>
      <w:r>
        <w:rPr>
          <w:rFonts w:hint="eastAsia" w:ascii="仿宋" w:hAnsi="仿宋" w:eastAsia="仿宋"/>
          <w:sz w:val="32"/>
          <w:szCs w:val="32"/>
        </w:rPr>
        <w:t>万元，其中：基本支出为</w:t>
      </w:r>
      <w:r>
        <w:rPr>
          <w:rFonts w:hint="eastAsia" w:ascii="仿宋" w:hAnsi="仿宋" w:eastAsia="仿宋"/>
          <w:sz w:val="32"/>
          <w:szCs w:val="32"/>
          <w:lang w:val="en-US" w:eastAsia="zh-CN"/>
        </w:rPr>
        <w:t>1276.80</w:t>
      </w:r>
      <w:r>
        <w:rPr>
          <w:rFonts w:hint="eastAsia" w:ascii="仿宋" w:hAnsi="仿宋" w:eastAsia="仿宋"/>
          <w:sz w:val="32"/>
          <w:szCs w:val="32"/>
        </w:rPr>
        <w:t>万元，项目支出</w:t>
      </w:r>
      <w:r>
        <w:rPr>
          <w:rFonts w:hint="eastAsia" w:ascii="仿宋" w:hAnsi="仿宋" w:eastAsia="仿宋"/>
          <w:sz w:val="32"/>
          <w:szCs w:val="32"/>
          <w:lang w:val="en-US" w:eastAsia="zh-CN"/>
        </w:rPr>
        <w:t>1479.54</w:t>
      </w:r>
      <w:r>
        <w:rPr>
          <w:rFonts w:hint="eastAsia" w:ascii="仿宋" w:hAnsi="仿宋" w:eastAsia="仿宋"/>
          <w:sz w:val="32"/>
          <w:szCs w:val="32"/>
        </w:rPr>
        <w:t>万元。</w:t>
      </w:r>
    </w:p>
    <w:p>
      <w:pPr>
        <w:ind w:firstLine="643" w:firstLineChars="200"/>
        <w:jc w:val="left"/>
        <w:rPr>
          <w:rFonts w:ascii="黑体" w:hAnsi="黑体" w:eastAsia="黑体"/>
          <w:b/>
          <w:bCs/>
          <w:sz w:val="32"/>
          <w:szCs w:val="32"/>
        </w:rPr>
      </w:pPr>
      <w:r>
        <w:rPr>
          <w:rFonts w:hint="eastAsia" w:ascii="黑体" w:hAnsi="黑体" w:eastAsia="黑体"/>
          <w:b/>
          <w:bCs/>
          <w:sz w:val="32"/>
          <w:szCs w:val="32"/>
        </w:rPr>
        <w:t>二、部门整体支出管理及使用情况</w:t>
      </w:r>
    </w:p>
    <w:p>
      <w:pPr>
        <w:ind w:firstLine="643" w:firstLineChars="200"/>
        <w:jc w:val="left"/>
        <w:rPr>
          <w:rFonts w:ascii="仿宋" w:hAnsi="仿宋" w:eastAsia="仿宋"/>
          <w:b/>
          <w:sz w:val="32"/>
          <w:szCs w:val="32"/>
        </w:rPr>
      </w:pPr>
      <w:r>
        <w:rPr>
          <w:rFonts w:hint="eastAsia" w:ascii="仿宋" w:hAnsi="仿宋" w:eastAsia="仿宋"/>
          <w:b/>
          <w:sz w:val="32"/>
          <w:szCs w:val="32"/>
        </w:rPr>
        <w:t>（一）基本支出情况</w:t>
      </w:r>
    </w:p>
    <w:p>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2022年</w:t>
      </w:r>
      <w:r>
        <w:rPr>
          <w:rFonts w:hint="eastAsia" w:ascii="仿宋" w:hAnsi="仿宋" w:eastAsia="仿宋"/>
          <w:sz w:val="32"/>
          <w:szCs w:val="32"/>
        </w:rPr>
        <w:t>度</w:t>
      </w:r>
      <w:r>
        <w:rPr>
          <w:rFonts w:hint="eastAsia" w:ascii="仿宋" w:hAnsi="仿宋" w:eastAsia="仿宋"/>
          <w:sz w:val="32"/>
          <w:szCs w:val="32"/>
          <w:lang w:eastAsia="zh-CN"/>
        </w:rPr>
        <w:t>本</w:t>
      </w:r>
      <w:r>
        <w:rPr>
          <w:rFonts w:hint="eastAsia" w:ascii="仿宋" w:hAnsi="仿宋" w:eastAsia="仿宋"/>
          <w:sz w:val="32"/>
          <w:szCs w:val="32"/>
        </w:rPr>
        <w:t>部门基本支出</w:t>
      </w:r>
      <w:r>
        <w:rPr>
          <w:rFonts w:hint="eastAsia" w:ascii="仿宋" w:hAnsi="仿宋" w:eastAsia="仿宋"/>
          <w:sz w:val="32"/>
          <w:szCs w:val="32"/>
          <w:lang w:val="en-US" w:eastAsia="zh-CN"/>
        </w:rPr>
        <w:t>1276.80</w:t>
      </w:r>
      <w:r>
        <w:rPr>
          <w:rFonts w:hint="eastAsia" w:ascii="仿宋" w:hAnsi="仿宋" w:eastAsia="仿宋"/>
          <w:sz w:val="32"/>
          <w:szCs w:val="32"/>
        </w:rPr>
        <w:t>万元，占总支出</w:t>
      </w:r>
      <w:r>
        <w:rPr>
          <w:rFonts w:hint="eastAsia" w:ascii="仿宋" w:hAnsi="仿宋" w:eastAsia="仿宋"/>
          <w:sz w:val="32"/>
          <w:szCs w:val="32"/>
          <w:lang w:eastAsia="zh-CN"/>
        </w:rPr>
        <w:t>的</w:t>
      </w:r>
      <w:r>
        <w:rPr>
          <w:rFonts w:hint="eastAsia" w:ascii="仿宋" w:hAnsi="仿宋" w:eastAsia="仿宋"/>
          <w:sz w:val="32"/>
          <w:szCs w:val="32"/>
          <w:lang w:val="en-US" w:eastAsia="zh-CN"/>
        </w:rPr>
        <w:t>46.32</w:t>
      </w:r>
      <w:r>
        <w:rPr>
          <w:rFonts w:hint="eastAsia"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sz w:val="32"/>
          <w:szCs w:val="32"/>
        </w:rPr>
        <w:t>其中：工资福利支出</w:t>
      </w:r>
      <w:r>
        <w:rPr>
          <w:rFonts w:hint="eastAsia" w:ascii="仿宋" w:hAnsi="仿宋" w:eastAsia="仿宋"/>
          <w:sz w:val="32"/>
          <w:szCs w:val="32"/>
          <w:lang w:val="en-US" w:eastAsia="zh-CN"/>
        </w:rPr>
        <w:t>831.81</w:t>
      </w:r>
      <w:r>
        <w:rPr>
          <w:rFonts w:hint="eastAsia" w:ascii="仿宋" w:hAnsi="仿宋" w:eastAsia="仿宋"/>
          <w:sz w:val="32"/>
          <w:szCs w:val="32"/>
        </w:rPr>
        <w:t>万元，主要用于基本工资、津贴补贴、奖金、伙食补助费、机关事业单位基本医疗保险缴费、其他社会保障费、住房公积金等支出;商品和服务支出</w:t>
      </w:r>
      <w:r>
        <w:rPr>
          <w:rFonts w:hint="eastAsia" w:ascii="仿宋" w:hAnsi="仿宋" w:eastAsia="仿宋"/>
          <w:sz w:val="32"/>
          <w:szCs w:val="32"/>
          <w:lang w:val="en-US" w:eastAsia="zh-CN"/>
        </w:rPr>
        <w:t>385.51</w:t>
      </w:r>
      <w:r>
        <w:rPr>
          <w:rFonts w:hint="eastAsia" w:ascii="仿宋" w:hAnsi="仿宋" w:eastAsia="仿宋"/>
          <w:sz w:val="32"/>
          <w:szCs w:val="32"/>
        </w:rPr>
        <w:t>万元，主要用于办公费、印刷费、</w:t>
      </w:r>
      <w:r>
        <w:rPr>
          <w:rFonts w:hint="eastAsia" w:ascii="仿宋" w:hAnsi="仿宋" w:eastAsia="仿宋"/>
          <w:sz w:val="32"/>
          <w:szCs w:val="32"/>
          <w:lang w:eastAsia="zh-CN"/>
        </w:rPr>
        <w:t>咨询费、</w:t>
      </w:r>
      <w:r>
        <w:rPr>
          <w:rFonts w:hint="eastAsia" w:ascii="仿宋" w:hAnsi="仿宋" w:eastAsia="仿宋"/>
          <w:sz w:val="32"/>
          <w:szCs w:val="32"/>
        </w:rPr>
        <w:t xml:space="preserve">维修费、差旅费、其他交通费用、扶贫点支出等；对个人家庭补助支出 </w:t>
      </w:r>
      <w:r>
        <w:rPr>
          <w:rFonts w:hint="eastAsia" w:ascii="仿宋" w:hAnsi="仿宋" w:eastAsia="仿宋"/>
          <w:sz w:val="32"/>
          <w:szCs w:val="32"/>
          <w:lang w:val="en-US" w:eastAsia="zh-CN"/>
        </w:rPr>
        <w:t>59.48</w:t>
      </w:r>
      <w:r>
        <w:rPr>
          <w:rFonts w:hint="eastAsia" w:ascii="仿宋" w:hAnsi="仿宋" w:eastAsia="仿宋"/>
          <w:sz w:val="32"/>
          <w:szCs w:val="32"/>
        </w:rPr>
        <w:t>万元，主要用于抚恤金</w:t>
      </w:r>
      <w:r>
        <w:rPr>
          <w:rFonts w:hint="eastAsia" w:ascii="仿宋" w:hAnsi="仿宋" w:eastAsia="仿宋"/>
          <w:sz w:val="32"/>
          <w:szCs w:val="32"/>
          <w:lang w:eastAsia="zh-CN"/>
        </w:rPr>
        <w:t>和</w:t>
      </w:r>
      <w:r>
        <w:rPr>
          <w:rFonts w:hint="eastAsia" w:ascii="仿宋" w:hAnsi="仿宋" w:eastAsia="仿宋"/>
          <w:sz w:val="32"/>
          <w:szCs w:val="32"/>
        </w:rPr>
        <w:t>遗属的生活补助</w:t>
      </w:r>
      <w:r>
        <w:rPr>
          <w:rFonts w:hint="eastAsia" w:ascii="仿宋" w:hAnsi="仿宋" w:eastAsia="仿宋"/>
          <w:sz w:val="32"/>
          <w:szCs w:val="32"/>
          <w:lang w:eastAsia="zh-CN"/>
        </w:rPr>
        <w:t>和独生子女奖励金</w:t>
      </w:r>
      <w:r>
        <w:rPr>
          <w:rFonts w:hint="eastAsia" w:ascii="仿宋" w:hAnsi="仿宋" w:eastAsia="仿宋"/>
          <w:sz w:val="32"/>
          <w:szCs w:val="32"/>
        </w:rPr>
        <w:t>等</w:t>
      </w:r>
      <w:r>
        <w:rPr>
          <w:rFonts w:hint="eastAsia" w:ascii="仿宋" w:hAnsi="仿宋" w:eastAsia="仿宋"/>
          <w:sz w:val="32"/>
          <w:szCs w:val="32"/>
          <w:lang w:val="en-US" w:eastAsia="zh-CN"/>
        </w:rPr>
        <w:t>支出。</w:t>
      </w:r>
    </w:p>
    <w:p>
      <w:pPr>
        <w:widowControl/>
        <w:ind w:firstLine="640" w:firstLineChars="200"/>
        <w:rPr>
          <w:rFonts w:ascii="仿宋" w:hAnsi="仿宋" w:eastAsia="仿宋"/>
          <w:sz w:val="32"/>
          <w:szCs w:val="32"/>
        </w:rPr>
      </w:pPr>
      <w:r>
        <w:rPr>
          <w:rFonts w:hint="eastAsia" w:ascii="仿宋" w:hAnsi="仿宋" w:eastAsia="仿宋"/>
          <w:sz w:val="32"/>
          <w:szCs w:val="32"/>
          <w:lang w:eastAsia="zh-CN"/>
        </w:rPr>
        <w:t>2022年“三公经费”列支明细：</w:t>
      </w:r>
      <w:r>
        <w:rPr>
          <w:rFonts w:hint="eastAsia" w:ascii="仿宋" w:hAnsi="仿宋" w:eastAsia="仿宋"/>
          <w:sz w:val="32"/>
          <w:szCs w:val="32"/>
        </w:rPr>
        <w:t>公车运行费为0万元，主要是没有公务车辆；公务接待费</w:t>
      </w:r>
      <w:r>
        <w:rPr>
          <w:rFonts w:hint="eastAsia" w:ascii="仿宋" w:hAnsi="仿宋" w:eastAsia="仿宋"/>
          <w:sz w:val="32"/>
          <w:szCs w:val="32"/>
          <w:lang w:val="en-US" w:eastAsia="zh-CN"/>
        </w:rPr>
        <w:t>6.22</w:t>
      </w:r>
      <w:r>
        <w:rPr>
          <w:rFonts w:hint="eastAsia" w:ascii="仿宋" w:hAnsi="仿宋" w:eastAsia="仿宋"/>
          <w:sz w:val="32"/>
          <w:szCs w:val="32"/>
          <w:lang w:eastAsia="zh-CN"/>
        </w:rPr>
        <w:t>万元（其中：基本支出</w:t>
      </w:r>
      <w:r>
        <w:rPr>
          <w:rFonts w:hint="eastAsia" w:ascii="仿宋" w:hAnsi="仿宋" w:eastAsia="仿宋"/>
          <w:sz w:val="32"/>
          <w:szCs w:val="32"/>
          <w:lang w:val="en-US" w:eastAsia="zh-CN"/>
        </w:rPr>
        <w:t>3.52万元，项目支出2.7万元），</w:t>
      </w:r>
      <w:r>
        <w:rPr>
          <w:rFonts w:hint="eastAsia" w:ascii="仿宋" w:hAnsi="仿宋" w:eastAsia="仿宋"/>
          <w:sz w:val="32"/>
          <w:szCs w:val="32"/>
        </w:rPr>
        <w:t>无因公出国（境）费，</w:t>
      </w:r>
      <w:r>
        <w:rPr>
          <w:rFonts w:hint="eastAsia" w:ascii="仿宋" w:hAnsi="仿宋" w:eastAsia="仿宋"/>
          <w:sz w:val="32"/>
          <w:szCs w:val="32"/>
          <w:lang w:eastAsia="zh-CN"/>
        </w:rPr>
        <w:t>所有支出均很好的控制在预算范围之内，确保资金使用的合规合理。</w:t>
      </w:r>
    </w:p>
    <w:p>
      <w:pPr>
        <w:widowControl/>
        <w:spacing w:line="600" w:lineRule="exact"/>
        <w:ind w:firstLine="643" w:firstLineChars="200"/>
        <w:rPr>
          <w:rFonts w:ascii="仿宋" w:hAnsi="仿宋" w:eastAsia="仿宋"/>
          <w:b/>
          <w:sz w:val="32"/>
          <w:szCs w:val="32"/>
        </w:rPr>
      </w:pPr>
      <w:r>
        <w:rPr>
          <w:rFonts w:hint="eastAsia" w:ascii="仿宋" w:hAnsi="仿宋" w:eastAsia="仿宋"/>
          <w:b/>
          <w:sz w:val="32"/>
          <w:szCs w:val="32"/>
        </w:rPr>
        <w:t>（二）支出管理情况</w:t>
      </w:r>
    </w:p>
    <w:p>
      <w:pPr>
        <w:widowControl/>
        <w:ind w:firstLine="640" w:firstLineChars="200"/>
        <w:rPr>
          <w:rFonts w:hint="eastAsia" w:ascii="仿宋" w:hAnsi="仿宋" w:eastAsia="仿宋"/>
          <w:sz w:val="32"/>
          <w:szCs w:val="32"/>
        </w:rPr>
      </w:pPr>
      <w:r>
        <w:rPr>
          <w:rFonts w:hint="eastAsia" w:ascii="仿宋" w:hAnsi="仿宋" w:eastAsia="仿宋"/>
          <w:sz w:val="32"/>
          <w:szCs w:val="32"/>
          <w:lang w:val="en-US" w:eastAsia="zh-CN"/>
        </w:rPr>
        <w:t>1、</w:t>
      </w:r>
      <w:r>
        <w:rPr>
          <w:rFonts w:hint="eastAsia" w:ascii="仿宋" w:hAnsi="仿宋" w:eastAsia="仿宋"/>
          <w:sz w:val="32"/>
          <w:szCs w:val="32"/>
        </w:rPr>
        <w:t>完善制度。积极推动单位内部控制建设，制定了《县发改局内部控制制度》，完善了《</w:t>
      </w:r>
      <w:r>
        <w:rPr>
          <w:rFonts w:hint="eastAsia" w:ascii="仿宋" w:hAnsi="仿宋" w:eastAsia="仿宋"/>
          <w:sz w:val="32"/>
          <w:szCs w:val="32"/>
          <w:lang w:eastAsia="zh-CN"/>
        </w:rPr>
        <w:t>局机关财务</w:t>
      </w:r>
      <w:r>
        <w:rPr>
          <w:rFonts w:hint="eastAsia" w:ascii="仿宋" w:hAnsi="仿宋" w:eastAsia="仿宋"/>
          <w:sz w:val="32"/>
          <w:szCs w:val="32"/>
        </w:rPr>
        <w:t>管理制度》、《</w:t>
      </w:r>
      <w:r>
        <w:rPr>
          <w:rFonts w:hint="eastAsia" w:ascii="仿宋" w:hAnsi="仿宋" w:eastAsia="仿宋"/>
          <w:sz w:val="32"/>
          <w:szCs w:val="32"/>
          <w:lang w:eastAsia="zh-CN"/>
        </w:rPr>
        <w:t>局机关</w:t>
      </w:r>
      <w:r>
        <w:rPr>
          <w:rFonts w:hint="eastAsia" w:ascii="仿宋" w:hAnsi="仿宋" w:eastAsia="仿宋"/>
          <w:sz w:val="32"/>
          <w:szCs w:val="32"/>
        </w:rPr>
        <w:t>考勤制度》、《行政工作问责制度》等</w:t>
      </w:r>
      <w:r>
        <w:rPr>
          <w:rFonts w:hint="eastAsia" w:ascii="仿宋" w:hAnsi="仿宋" w:eastAsia="仿宋"/>
          <w:sz w:val="32"/>
          <w:szCs w:val="32"/>
          <w:lang w:eastAsia="zh-CN"/>
        </w:rPr>
        <w:t>工作制度</w:t>
      </w:r>
      <w:r>
        <w:rPr>
          <w:rFonts w:hint="eastAsia" w:ascii="仿宋" w:hAnsi="仿宋" w:eastAsia="仿宋"/>
          <w:sz w:val="32"/>
          <w:szCs w:val="32"/>
        </w:rPr>
        <w:t>。</w:t>
      </w:r>
    </w:p>
    <w:p>
      <w:pPr>
        <w:widowControl/>
        <w:spacing w:line="60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rPr>
        <w:t>严控支出。我局严格执行财务预算和财务管理制度，</w:t>
      </w:r>
      <w:r>
        <w:rPr>
          <w:rFonts w:hint="eastAsia" w:ascii="仿宋" w:hAnsi="仿宋" w:eastAsia="仿宋"/>
          <w:sz w:val="32"/>
          <w:szCs w:val="32"/>
          <w:lang w:eastAsia="zh-CN"/>
        </w:rPr>
        <w:t>各类</w:t>
      </w:r>
      <w:r>
        <w:rPr>
          <w:rFonts w:hint="eastAsia" w:ascii="仿宋" w:hAnsi="仿宋" w:eastAsia="仿宋"/>
          <w:sz w:val="32"/>
          <w:szCs w:val="32"/>
        </w:rPr>
        <w:t>经费控制有序；全年所有支出无挤占挪用项目资金情况</w:t>
      </w:r>
      <w:r>
        <w:rPr>
          <w:rFonts w:hint="eastAsia" w:ascii="仿宋" w:hAnsi="仿宋" w:eastAsia="仿宋"/>
          <w:sz w:val="32"/>
          <w:szCs w:val="32"/>
          <w:lang w:eastAsia="zh-CN"/>
        </w:rPr>
        <w:t>，</w:t>
      </w:r>
      <w:r>
        <w:rPr>
          <w:rFonts w:hint="eastAsia" w:ascii="仿宋" w:hAnsi="仿宋" w:eastAsia="仿宋"/>
          <w:sz w:val="32"/>
          <w:szCs w:val="32"/>
        </w:rPr>
        <w:t>均控制在预算和调整预算数范围之内。</w:t>
      </w:r>
    </w:p>
    <w:p>
      <w:pPr>
        <w:widowControl/>
        <w:spacing w:line="60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3、</w:t>
      </w:r>
      <w:r>
        <w:rPr>
          <w:rFonts w:hint="eastAsia" w:ascii="仿宋" w:hAnsi="仿宋" w:eastAsia="仿宋"/>
          <w:sz w:val="32"/>
          <w:szCs w:val="32"/>
        </w:rPr>
        <w:t>规范管理。对于经费支出，明确审批权限</w:t>
      </w:r>
      <w:r>
        <w:rPr>
          <w:rFonts w:hint="eastAsia" w:ascii="仿宋" w:hAnsi="仿宋" w:eastAsia="仿宋"/>
          <w:sz w:val="32"/>
          <w:szCs w:val="32"/>
          <w:lang w:eastAsia="zh-CN"/>
        </w:rPr>
        <w:t>，</w:t>
      </w:r>
      <w:r>
        <w:rPr>
          <w:rFonts w:hint="eastAsia" w:ascii="仿宋" w:hAnsi="仿宋" w:eastAsia="仿宋"/>
          <w:sz w:val="32"/>
          <w:szCs w:val="32"/>
        </w:rPr>
        <w:t>严格按照审批制度执行，坚决实行报账审批“一支笔”，重大开支经局党组集体研究；</w:t>
      </w:r>
      <w:r>
        <w:rPr>
          <w:rFonts w:hint="eastAsia" w:ascii="仿宋" w:hAnsi="仿宋" w:eastAsia="仿宋"/>
          <w:sz w:val="32"/>
          <w:szCs w:val="32"/>
          <w:lang w:eastAsia="zh-CN"/>
        </w:rPr>
        <w:t>办公用品、</w:t>
      </w:r>
      <w:r>
        <w:rPr>
          <w:rFonts w:hint="eastAsia" w:ascii="仿宋" w:hAnsi="仿宋" w:eastAsia="仿宋"/>
          <w:sz w:val="32"/>
          <w:szCs w:val="32"/>
        </w:rPr>
        <w:t>设备购置</w:t>
      </w:r>
      <w:r>
        <w:rPr>
          <w:rFonts w:hint="eastAsia" w:ascii="仿宋" w:hAnsi="仿宋" w:eastAsia="仿宋"/>
          <w:sz w:val="32"/>
          <w:szCs w:val="32"/>
          <w:lang w:eastAsia="zh-CN"/>
        </w:rPr>
        <w:t>及购买服务等一律按要求</w:t>
      </w:r>
      <w:r>
        <w:rPr>
          <w:rFonts w:hint="eastAsia" w:ascii="仿宋" w:hAnsi="仿宋" w:eastAsia="仿宋"/>
          <w:sz w:val="32"/>
          <w:szCs w:val="32"/>
        </w:rPr>
        <w:t>履行政府采购程序</w:t>
      </w:r>
      <w:r>
        <w:rPr>
          <w:rFonts w:hint="eastAsia" w:ascii="仿宋" w:hAnsi="仿宋" w:eastAsia="仿宋"/>
          <w:sz w:val="32"/>
          <w:szCs w:val="32"/>
          <w:lang w:eastAsia="zh-CN"/>
        </w:rPr>
        <w:t>，在电子卖场统一采购</w:t>
      </w:r>
      <w:r>
        <w:rPr>
          <w:rFonts w:hint="eastAsia" w:ascii="仿宋" w:hAnsi="仿宋" w:eastAsia="仿宋"/>
          <w:sz w:val="32"/>
          <w:szCs w:val="32"/>
        </w:rPr>
        <w:t>；会议费、差旅费、培训费和“三公经费”按相关文件规定执行</w:t>
      </w:r>
      <w:r>
        <w:rPr>
          <w:rFonts w:hint="eastAsia" w:ascii="仿宋" w:hAnsi="仿宋" w:eastAsia="仿宋"/>
          <w:sz w:val="32"/>
          <w:szCs w:val="32"/>
          <w:lang w:eastAsia="zh-CN"/>
        </w:rPr>
        <w:t>。</w:t>
      </w:r>
      <w:r>
        <w:rPr>
          <w:rFonts w:hint="eastAsia" w:ascii="仿宋" w:hAnsi="仿宋" w:eastAsia="仿宋"/>
          <w:sz w:val="32"/>
          <w:szCs w:val="32"/>
        </w:rPr>
        <w:t>加强监督检查，做好机关财务自查自审，发现问题及时制定措施</w:t>
      </w:r>
      <w:r>
        <w:rPr>
          <w:rFonts w:hint="eastAsia" w:ascii="仿宋" w:hAnsi="仿宋" w:eastAsia="仿宋"/>
          <w:sz w:val="32"/>
          <w:szCs w:val="32"/>
          <w:lang w:eastAsia="zh-CN"/>
        </w:rPr>
        <w:t>进行</w:t>
      </w:r>
      <w:r>
        <w:rPr>
          <w:rFonts w:hint="eastAsia" w:ascii="仿宋" w:hAnsi="仿宋" w:eastAsia="仿宋"/>
          <w:sz w:val="32"/>
          <w:szCs w:val="32"/>
        </w:rPr>
        <w:t>整改。积极推进局机关经费公开，自觉接受监督。我局按照要求在</w:t>
      </w:r>
      <w:r>
        <w:rPr>
          <w:rFonts w:hint="eastAsia" w:ascii="仿宋" w:hAnsi="仿宋" w:eastAsia="仿宋"/>
          <w:sz w:val="32"/>
          <w:szCs w:val="32"/>
          <w:lang w:eastAsia="zh-CN"/>
        </w:rPr>
        <w:t>政府门户</w:t>
      </w:r>
      <w:r>
        <w:rPr>
          <w:rFonts w:hint="eastAsia" w:ascii="仿宋" w:hAnsi="仿宋" w:eastAsia="仿宋"/>
          <w:sz w:val="32"/>
          <w:szCs w:val="32"/>
        </w:rPr>
        <w:t>网站及时公开部门预、决算和“三公经费”支出情况，做到了公开透明。</w:t>
      </w:r>
    </w:p>
    <w:p>
      <w:pPr>
        <w:widowControl/>
        <w:spacing w:line="600" w:lineRule="exact"/>
        <w:ind w:firstLine="643" w:firstLineChars="200"/>
        <w:rPr>
          <w:rFonts w:hint="eastAsia" w:ascii="仿宋" w:hAnsi="仿宋" w:eastAsia="仿宋"/>
          <w:b/>
          <w:bCs/>
          <w:sz w:val="32"/>
          <w:szCs w:val="32"/>
          <w:lang w:eastAsia="zh-CN"/>
        </w:rPr>
      </w:pPr>
      <w:r>
        <w:rPr>
          <w:rFonts w:hint="eastAsia" w:ascii="仿宋" w:hAnsi="仿宋" w:eastAsia="仿宋"/>
          <w:b/>
          <w:bCs/>
          <w:sz w:val="32"/>
          <w:szCs w:val="32"/>
          <w:lang w:eastAsia="zh-CN"/>
        </w:rPr>
        <w:t>（三）专项资金支出及管理情况</w:t>
      </w:r>
    </w:p>
    <w:p>
      <w:pPr>
        <w:ind w:firstLine="596" w:firstLineChars="200"/>
        <w:jc w:val="left"/>
        <w:rPr>
          <w:rFonts w:hint="default" w:ascii="仿宋" w:hAnsi="仿宋" w:eastAsia="仿宋"/>
          <w:spacing w:val="-11"/>
          <w:sz w:val="32"/>
          <w:szCs w:val="32"/>
          <w:lang w:val="en-US" w:eastAsia="zh-CN"/>
        </w:rPr>
      </w:pPr>
      <w:r>
        <w:rPr>
          <w:rFonts w:hint="eastAsia" w:ascii="仿宋" w:hAnsi="仿宋" w:eastAsia="仿宋"/>
          <w:spacing w:val="-11"/>
          <w:sz w:val="32"/>
          <w:szCs w:val="32"/>
          <w:lang w:val="en-US" w:eastAsia="zh-CN"/>
        </w:rPr>
        <w:t>2022年本部门</w:t>
      </w:r>
      <w:r>
        <w:rPr>
          <w:rFonts w:hint="eastAsia" w:ascii="仿宋" w:hAnsi="仿宋" w:eastAsia="仿宋"/>
          <w:spacing w:val="-11"/>
          <w:sz w:val="32"/>
          <w:szCs w:val="32"/>
        </w:rPr>
        <w:t>项目支出</w:t>
      </w:r>
      <w:r>
        <w:rPr>
          <w:rFonts w:hint="eastAsia" w:ascii="仿宋" w:hAnsi="仿宋" w:eastAsia="仿宋"/>
          <w:spacing w:val="-11"/>
          <w:sz w:val="32"/>
          <w:szCs w:val="32"/>
          <w:lang w:val="en-US" w:eastAsia="zh-CN"/>
        </w:rPr>
        <w:t>1479.54</w:t>
      </w:r>
      <w:r>
        <w:rPr>
          <w:rFonts w:hint="eastAsia" w:ascii="仿宋" w:hAnsi="仿宋" w:eastAsia="仿宋"/>
          <w:spacing w:val="-11"/>
          <w:sz w:val="32"/>
          <w:szCs w:val="32"/>
        </w:rPr>
        <w:t>万元，占总支出</w:t>
      </w:r>
      <w:r>
        <w:rPr>
          <w:rFonts w:hint="eastAsia" w:ascii="仿宋" w:hAnsi="仿宋" w:eastAsia="仿宋"/>
          <w:spacing w:val="-11"/>
          <w:sz w:val="32"/>
          <w:szCs w:val="32"/>
          <w:lang w:eastAsia="zh-CN"/>
        </w:rPr>
        <w:t>的</w:t>
      </w:r>
      <w:r>
        <w:rPr>
          <w:rFonts w:hint="eastAsia" w:ascii="仿宋" w:hAnsi="仿宋" w:eastAsia="仿宋"/>
          <w:spacing w:val="-11"/>
          <w:sz w:val="32"/>
          <w:szCs w:val="32"/>
          <w:lang w:val="en-US" w:eastAsia="zh-CN"/>
        </w:rPr>
        <w:t>53.68</w:t>
      </w:r>
      <w:r>
        <w:rPr>
          <w:rFonts w:hint="eastAsia" w:ascii="仿宋" w:hAnsi="仿宋" w:eastAsia="仿宋"/>
          <w:spacing w:val="-11"/>
          <w:sz w:val="32"/>
          <w:szCs w:val="32"/>
        </w:rPr>
        <w:t>%</w:t>
      </w:r>
      <w:r>
        <w:rPr>
          <w:rFonts w:hint="eastAsia" w:ascii="仿宋" w:hAnsi="仿宋" w:eastAsia="仿宋"/>
          <w:spacing w:val="-11"/>
          <w:sz w:val="32"/>
          <w:szCs w:val="32"/>
          <w:lang w:eastAsia="zh-CN"/>
        </w:rPr>
        <w:t>。</w:t>
      </w:r>
      <w:r>
        <w:rPr>
          <w:rFonts w:hint="eastAsia" w:ascii="仿宋" w:hAnsi="仿宋" w:eastAsia="仿宋"/>
          <w:spacing w:val="-20"/>
          <w:sz w:val="32"/>
          <w:szCs w:val="32"/>
          <w:lang w:val="en-US" w:eastAsia="zh-CN"/>
        </w:rPr>
        <w:t xml:space="preserve">    </w:t>
      </w:r>
      <w:r>
        <w:rPr>
          <w:rFonts w:hint="eastAsia" w:ascii="仿宋" w:hAnsi="仿宋" w:eastAsia="仿宋"/>
          <w:sz w:val="32"/>
          <w:szCs w:val="32"/>
          <w:lang w:eastAsia="zh-CN"/>
        </w:rPr>
        <w:t>其中包含：储备粮项目支出</w:t>
      </w:r>
      <w:r>
        <w:rPr>
          <w:rFonts w:hint="eastAsia" w:ascii="仿宋" w:hAnsi="仿宋" w:eastAsia="仿宋"/>
          <w:sz w:val="32"/>
          <w:szCs w:val="32"/>
          <w:lang w:val="en-US" w:eastAsia="zh-CN"/>
        </w:rPr>
        <w:t>236.28万元；项目前期工作经费支出346.48万元，</w:t>
      </w:r>
      <w:r>
        <w:rPr>
          <w:rFonts w:hint="eastAsia" w:ascii="仿宋" w:hAnsi="仿宋" w:eastAsia="仿宋"/>
          <w:sz w:val="32"/>
          <w:szCs w:val="32"/>
          <w:lang w:eastAsia="zh-CN"/>
        </w:rPr>
        <w:t>2018年大湘西地区天然饮用水资源开发专项</w:t>
      </w:r>
      <w:r>
        <w:rPr>
          <w:rFonts w:hint="eastAsia" w:ascii="仿宋" w:hAnsi="仿宋" w:eastAsia="仿宋"/>
          <w:sz w:val="32"/>
          <w:szCs w:val="32"/>
          <w:lang w:val="en-US" w:eastAsia="zh-CN"/>
        </w:rPr>
        <w:t>100万元，应急成品粮84.1万元等。在项目的实施中，根据财政专项资金管理制度和财务管理办法，实行专款专用，严格执行报账程序，严格</w:t>
      </w:r>
      <w:r>
        <w:rPr>
          <w:rFonts w:hint="eastAsia" w:ascii="仿宋" w:hAnsi="仿宋" w:eastAsia="仿宋"/>
          <w:spacing w:val="-11"/>
          <w:sz w:val="32"/>
          <w:szCs w:val="32"/>
          <w:lang w:val="en-US" w:eastAsia="zh-CN"/>
        </w:rPr>
        <w:t>控制项目支出，发挥资金的最大效益，确保预期目标如期完成，没有资金违规使用情况。</w:t>
      </w:r>
    </w:p>
    <w:p>
      <w:pPr>
        <w:widowControl/>
        <w:spacing w:line="600" w:lineRule="exact"/>
        <w:ind w:firstLine="643" w:firstLineChars="200"/>
        <w:rPr>
          <w:rFonts w:ascii="黑体" w:hAnsi="黑体" w:eastAsia="黑体"/>
          <w:sz w:val="32"/>
          <w:szCs w:val="32"/>
        </w:rPr>
      </w:pPr>
      <w:r>
        <w:rPr>
          <w:rFonts w:hint="eastAsia" w:ascii="黑体" w:hAnsi="黑体" w:eastAsia="黑体"/>
          <w:b/>
          <w:bCs/>
          <w:sz w:val="32"/>
          <w:szCs w:val="32"/>
          <w:lang w:eastAsia="zh-CN"/>
        </w:rPr>
        <w:t>三</w:t>
      </w:r>
      <w:r>
        <w:rPr>
          <w:rFonts w:hint="eastAsia" w:ascii="黑体" w:hAnsi="黑体" w:eastAsia="黑体"/>
          <w:b/>
          <w:bCs/>
          <w:sz w:val="32"/>
          <w:szCs w:val="32"/>
        </w:rPr>
        <w:t>、资产管理情况</w:t>
      </w:r>
    </w:p>
    <w:p>
      <w:pPr>
        <w:widowControl/>
        <w:spacing w:line="600" w:lineRule="exact"/>
        <w:ind w:firstLine="640" w:firstLineChars="200"/>
        <w:rPr>
          <w:rFonts w:ascii="仿宋" w:hAnsi="仿宋" w:eastAsia="仿宋"/>
          <w:bCs/>
          <w:kern w:val="0"/>
          <w:sz w:val="32"/>
          <w:szCs w:val="32"/>
        </w:rPr>
      </w:pPr>
      <w:r>
        <w:rPr>
          <w:rFonts w:hint="eastAsia" w:ascii="仿宋" w:hAnsi="仿宋" w:eastAsia="仿宋" w:cs="宋体"/>
          <w:kern w:val="0"/>
          <w:sz w:val="32"/>
          <w:szCs w:val="32"/>
        </w:rPr>
        <w:t>为提高固定资产使用效率，加强固定资产的管理，我局对所属固定资产进行清点，目前，我单位固定资产已全部登记造册，并明确了使用人管理。</w:t>
      </w:r>
      <w:r>
        <w:rPr>
          <w:rFonts w:ascii="仿宋" w:hAnsi="仿宋" w:eastAsia="仿宋"/>
          <w:kern w:val="0"/>
          <w:sz w:val="32"/>
          <w:szCs w:val="32"/>
        </w:rPr>
        <w:t>截至</w:t>
      </w:r>
      <w:r>
        <w:rPr>
          <w:rFonts w:hint="eastAsia" w:ascii="仿宋" w:hAnsi="仿宋" w:eastAsia="仿宋"/>
          <w:kern w:val="0"/>
          <w:sz w:val="32"/>
          <w:szCs w:val="32"/>
          <w:lang w:eastAsia="zh-CN"/>
        </w:rPr>
        <w:t>2022年</w:t>
      </w:r>
      <w:r>
        <w:rPr>
          <w:rFonts w:ascii="仿宋" w:hAnsi="仿宋" w:eastAsia="仿宋"/>
          <w:kern w:val="0"/>
          <w:sz w:val="32"/>
          <w:szCs w:val="32"/>
        </w:rPr>
        <w:t>12 月31 日，</w:t>
      </w:r>
      <w:r>
        <w:rPr>
          <w:rFonts w:hint="eastAsia" w:ascii="仿宋" w:hAnsi="仿宋" w:eastAsia="仿宋"/>
          <w:bCs/>
          <w:kern w:val="0"/>
          <w:sz w:val="32"/>
          <w:szCs w:val="32"/>
        </w:rPr>
        <w:t>本单位固定资产</w:t>
      </w:r>
      <w:r>
        <w:rPr>
          <w:rFonts w:hint="eastAsia" w:ascii="仿宋" w:hAnsi="仿宋" w:eastAsia="仿宋"/>
          <w:bCs/>
          <w:kern w:val="0"/>
          <w:sz w:val="32"/>
          <w:szCs w:val="32"/>
          <w:lang w:eastAsia="zh-CN"/>
        </w:rPr>
        <w:t>账面价值为</w:t>
      </w:r>
      <w:r>
        <w:rPr>
          <w:rFonts w:hint="eastAsia" w:ascii="仿宋" w:hAnsi="仿宋" w:eastAsia="仿宋"/>
          <w:bCs/>
          <w:kern w:val="0"/>
          <w:sz w:val="32"/>
          <w:szCs w:val="32"/>
          <w:lang w:val="en-US" w:eastAsia="zh-CN"/>
        </w:rPr>
        <w:t>57.07</w:t>
      </w:r>
      <w:r>
        <w:rPr>
          <w:rFonts w:hint="eastAsia" w:ascii="仿宋" w:hAnsi="仿宋" w:eastAsia="仿宋"/>
          <w:bCs/>
          <w:kern w:val="0"/>
          <w:sz w:val="32"/>
          <w:szCs w:val="32"/>
        </w:rPr>
        <w:t>万元，其中：房屋建筑物</w:t>
      </w:r>
      <w:r>
        <w:rPr>
          <w:rFonts w:hint="eastAsia" w:ascii="仿宋" w:hAnsi="仿宋" w:eastAsia="仿宋"/>
          <w:bCs/>
          <w:kern w:val="0"/>
          <w:sz w:val="32"/>
          <w:szCs w:val="32"/>
          <w:lang w:val="en-US" w:eastAsia="zh-CN"/>
        </w:rPr>
        <w:t>2.18</w:t>
      </w:r>
      <w:r>
        <w:rPr>
          <w:rFonts w:hint="eastAsia" w:ascii="仿宋" w:hAnsi="仿宋" w:eastAsia="仿宋"/>
          <w:bCs/>
          <w:kern w:val="0"/>
          <w:sz w:val="32"/>
          <w:szCs w:val="32"/>
        </w:rPr>
        <w:t>万元，通用设备</w:t>
      </w:r>
      <w:r>
        <w:rPr>
          <w:rFonts w:hint="eastAsia" w:ascii="仿宋" w:hAnsi="仿宋" w:eastAsia="仿宋"/>
          <w:bCs/>
          <w:kern w:val="0"/>
          <w:sz w:val="32"/>
          <w:szCs w:val="32"/>
          <w:lang w:val="en-US" w:eastAsia="zh-CN"/>
        </w:rPr>
        <w:t>11.82</w:t>
      </w:r>
      <w:r>
        <w:rPr>
          <w:rFonts w:hint="eastAsia" w:ascii="仿宋" w:hAnsi="仿宋" w:eastAsia="仿宋"/>
          <w:bCs/>
          <w:kern w:val="0"/>
          <w:sz w:val="32"/>
          <w:szCs w:val="32"/>
        </w:rPr>
        <w:t>万元，专用设备</w:t>
      </w:r>
      <w:r>
        <w:rPr>
          <w:rFonts w:hint="eastAsia" w:ascii="仿宋" w:hAnsi="仿宋" w:eastAsia="仿宋"/>
          <w:bCs/>
          <w:kern w:val="0"/>
          <w:sz w:val="32"/>
          <w:szCs w:val="32"/>
          <w:lang w:val="en-US" w:eastAsia="zh-CN"/>
        </w:rPr>
        <w:t>26.83</w:t>
      </w:r>
      <w:r>
        <w:rPr>
          <w:rFonts w:hint="eastAsia" w:ascii="仿宋" w:hAnsi="仿宋" w:eastAsia="仿宋"/>
          <w:bCs/>
          <w:kern w:val="0"/>
          <w:sz w:val="32"/>
          <w:szCs w:val="32"/>
        </w:rPr>
        <w:t>万元，其它固定资产</w:t>
      </w:r>
      <w:r>
        <w:rPr>
          <w:rFonts w:hint="eastAsia" w:ascii="仿宋" w:hAnsi="仿宋" w:eastAsia="仿宋"/>
          <w:bCs/>
          <w:kern w:val="0"/>
          <w:sz w:val="32"/>
          <w:szCs w:val="32"/>
          <w:lang w:val="en-US" w:eastAsia="zh-CN"/>
        </w:rPr>
        <w:t>16.24</w:t>
      </w:r>
      <w:r>
        <w:rPr>
          <w:rFonts w:hint="eastAsia" w:ascii="仿宋" w:hAnsi="仿宋" w:eastAsia="仿宋"/>
          <w:bCs/>
          <w:kern w:val="0"/>
          <w:sz w:val="32"/>
          <w:szCs w:val="32"/>
        </w:rPr>
        <w:t>万元。</w:t>
      </w:r>
    </w:p>
    <w:p>
      <w:pPr>
        <w:widowControl/>
        <w:spacing w:line="600" w:lineRule="exact"/>
        <w:ind w:firstLine="643" w:firstLineChars="200"/>
        <w:rPr>
          <w:rFonts w:ascii="黑体" w:hAnsi="黑体" w:eastAsia="黑体"/>
          <w:b/>
          <w:bCs/>
          <w:sz w:val="32"/>
          <w:szCs w:val="32"/>
        </w:rPr>
      </w:pPr>
      <w:r>
        <w:rPr>
          <w:rFonts w:hint="eastAsia" w:ascii="黑体" w:hAnsi="黑体" w:eastAsia="黑体"/>
          <w:b/>
          <w:bCs/>
          <w:sz w:val="32"/>
          <w:szCs w:val="32"/>
          <w:lang w:eastAsia="zh-CN"/>
        </w:rPr>
        <w:t>四</w:t>
      </w:r>
      <w:r>
        <w:rPr>
          <w:rFonts w:hint="eastAsia" w:ascii="黑体" w:hAnsi="黑体" w:eastAsia="黑体"/>
          <w:b/>
          <w:bCs/>
          <w:sz w:val="32"/>
          <w:szCs w:val="32"/>
        </w:rPr>
        <w:t>、部门整体支出绩效情况</w:t>
      </w:r>
    </w:p>
    <w:p>
      <w:pPr>
        <w:widowControl/>
        <w:spacing w:line="600" w:lineRule="exact"/>
        <w:ind w:firstLine="643" w:firstLineChars="200"/>
        <w:rPr>
          <w:rFonts w:hint="eastAsia" w:ascii="仿宋" w:hAnsi="仿宋" w:eastAsia="仿宋"/>
          <w:b/>
          <w:sz w:val="32"/>
          <w:szCs w:val="32"/>
          <w:lang w:eastAsia="zh-CN"/>
        </w:rPr>
      </w:pPr>
      <w:r>
        <w:rPr>
          <w:rFonts w:hint="eastAsia" w:ascii="仿宋" w:hAnsi="仿宋" w:eastAsia="仿宋"/>
          <w:b/>
          <w:sz w:val="32"/>
          <w:szCs w:val="32"/>
        </w:rPr>
        <w:t>（一）</w:t>
      </w:r>
      <w:r>
        <w:rPr>
          <w:rFonts w:hint="eastAsia" w:ascii="仿宋" w:hAnsi="仿宋" w:eastAsia="仿宋"/>
          <w:b/>
          <w:sz w:val="32"/>
          <w:szCs w:val="32"/>
          <w:lang w:eastAsia="zh-CN"/>
        </w:rPr>
        <w:t>部门履职情况分析</w:t>
      </w:r>
    </w:p>
    <w:p>
      <w:pPr>
        <w:widowControl/>
        <w:spacing w:line="600" w:lineRule="exact"/>
        <w:ind w:firstLine="643" w:firstLineChars="200"/>
        <w:jc w:val="left"/>
        <w:rPr>
          <w:rFonts w:ascii="仿宋_GB2312" w:eastAsia="仿宋_GB2312"/>
          <w:kern w:val="0"/>
          <w:sz w:val="32"/>
          <w:szCs w:val="32"/>
        </w:rPr>
      </w:pPr>
      <w:r>
        <w:rPr>
          <w:rFonts w:hint="eastAsia" w:ascii="楷体_GB2312" w:hAnsi="楷体_GB2312" w:eastAsia="楷体_GB2312" w:cs="楷体_GB2312"/>
          <w:b/>
          <w:bCs/>
          <w:sz w:val="32"/>
          <w:szCs w:val="32"/>
          <w:lang w:val="en-US" w:eastAsia="zh-CN"/>
        </w:rPr>
        <w:t>1</w:t>
      </w:r>
      <w:r>
        <w:rPr>
          <w:rFonts w:hint="eastAsia" w:ascii="楷体_GB2312" w:hAnsi="楷体_GB2312" w:eastAsia="楷体_GB2312" w:cs="楷体_GB2312"/>
          <w:b/>
          <w:bCs/>
          <w:sz w:val="32"/>
          <w:szCs w:val="32"/>
        </w:rPr>
        <w:t>.全力做好争资争项。</w:t>
      </w:r>
      <w:bookmarkStart w:id="0" w:name="_Hlk125985586"/>
      <w:r>
        <w:rPr>
          <w:rFonts w:hint="eastAsia" w:ascii="仿宋_GB2312" w:eastAsia="仿宋_GB2312"/>
          <w:kern w:val="0"/>
          <w:sz w:val="32"/>
          <w:szCs w:val="32"/>
          <w:lang w:eastAsia="zh-CN"/>
        </w:rPr>
        <w:t>全年</w:t>
      </w:r>
      <w:r>
        <w:rPr>
          <w:rFonts w:hint="eastAsia" w:ascii="仿宋_GB2312" w:eastAsia="仿宋_GB2312"/>
          <w:kern w:val="0"/>
          <w:sz w:val="32"/>
          <w:szCs w:val="32"/>
        </w:rPr>
        <w:t>共争取到位项目22个，到位资金10.22亿元。其中，中央预算内投资项目18个，到位资金2.1亿元；地方专项债券项目4个，到位资金8.12亿元。通过积极向上争取，目前我县已纳入全省“十四五”风、光资源开发利用规划的风力发电项目有9个，装机规模48万千瓦，光伏发电项目有6个，装机规模72万千瓦；已取得全省“十四五”第一批风电项目开发建设的有7个，总装机规模为44.5万千瓦；大江口抽水蓄能电站已纳入省能源“十四五”发展规划，现已完成初步分析报告。</w:t>
      </w:r>
    </w:p>
    <w:bookmarkEnd w:id="0"/>
    <w:p>
      <w:pPr>
        <w:ind w:firstLine="643" w:firstLineChars="200"/>
        <w:rPr>
          <w:rFonts w:ascii="仿宋_GB2312" w:hAnsi="仿宋_GB2312" w:eastAsia="仿宋_GB2312" w:cs="仿宋_GB2312"/>
          <w:kern w:val="0"/>
          <w:sz w:val="32"/>
          <w:szCs w:val="32"/>
        </w:rPr>
      </w:pPr>
      <w:r>
        <w:rPr>
          <w:rFonts w:hint="eastAsia" w:ascii="楷体_GB2312" w:hAnsi="楷体_GB2312" w:eastAsia="楷体_GB2312" w:cs="楷体_GB2312"/>
          <w:b/>
          <w:bCs/>
          <w:sz w:val="32"/>
          <w:szCs w:val="32"/>
          <w:lang w:val="en-US" w:eastAsia="zh-CN"/>
        </w:rPr>
        <w:t>2</w:t>
      </w:r>
      <w:r>
        <w:rPr>
          <w:rFonts w:hint="eastAsia" w:ascii="楷体_GB2312" w:hAnsi="楷体_GB2312" w:eastAsia="楷体_GB2312" w:cs="楷体_GB2312"/>
          <w:b/>
          <w:bCs/>
          <w:sz w:val="32"/>
          <w:szCs w:val="32"/>
        </w:rPr>
        <w:t>.大力推进项目投资。</w:t>
      </w:r>
      <w:bookmarkStart w:id="1" w:name="_Hlk125985688"/>
      <w:r>
        <w:rPr>
          <w:rFonts w:hint="eastAsia" w:ascii="仿宋_GB2312" w:eastAsia="仿宋_GB2312"/>
          <w:kern w:val="0"/>
          <w:sz w:val="32"/>
          <w:szCs w:val="32"/>
        </w:rPr>
        <w:t>共谋划储备项目273个，总投资1308亿元；共组织参与2次全市重大项目集中开工活动，涉及12个项目，总投资23.97亿元，年度计划投资12.01亿元。</w:t>
      </w:r>
      <w:bookmarkEnd w:id="1"/>
    </w:p>
    <w:p>
      <w:pPr>
        <w:widowControl/>
        <w:spacing w:line="600" w:lineRule="exact"/>
        <w:ind w:firstLine="643" w:firstLineChars="200"/>
        <w:jc w:val="left"/>
        <w:rPr>
          <w:rFonts w:ascii="仿宋_GB2312" w:eastAsia="仿宋_GB2312"/>
          <w:kern w:val="0"/>
          <w:sz w:val="32"/>
          <w:szCs w:val="32"/>
        </w:rPr>
      </w:pPr>
      <w:r>
        <w:rPr>
          <w:rFonts w:hint="eastAsia" w:ascii="楷体_GB2312" w:hAnsi="楷体_GB2312" w:eastAsia="楷体_GB2312" w:cs="楷体_GB2312"/>
          <w:b/>
          <w:bCs/>
          <w:sz w:val="32"/>
          <w:szCs w:val="32"/>
          <w:lang w:val="en-US" w:eastAsia="zh-CN"/>
        </w:rPr>
        <w:t>3</w:t>
      </w:r>
      <w:r>
        <w:rPr>
          <w:rFonts w:hint="eastAsia" w:ascii="楷体_GB2312" w:hAnsi="楷体_GB2312" w:eastAsia="楷体_GB2312" w:cs="楷体_GB2312"/>
          <w:b/>
          <w:bCs/>
          <w:sz w:val="32"/>
          <w:szCs w:val="32"/>
        </w:rPr>
        <w:t>.扎实开展价格管理工作。</w:t>
      </w:r>
      <w:bookmarkStart w:id="2" w:name="_Hlk125985014"/>
      <w:r>
        <w:rPr>
          <w:rFonts w:hint="eastAsia" w:ascii="仿宋_GB2312" w:eastAsia="仿宋_GB2312"/>
          <w:kern w:val="0"/>
          <w:sz w:val="32"/>
          <w:szCs w:val="32"/>
        </w:rPr>
        <w:t>大力推进农业水价综合改革工作，完成农业水价综合改革面积26.62万亩。公布了2022年溆浦县政府定价的经营服务性收费目录清单和行政事业性收费目录清单。深入开展农产品成本调研工作，完成农产品品种常规调查、农户存、售粮情况专项调查等10项农产品成本调查工作，撰写分析报告17篇。加强市场价格监测，提高价格监测预警能力，采集上报主要商品和服务价格监测数据共计7000余条，撰写分析材料及动态信息6篇，专题调查1篇。扎实开展价格认证工作。全年共完成价格认定案件190件，全面实现价格认定业务上网办理，存量案卷5511件全部完成录入工作，业务上网、数据入库率双双达到100%。2022年，我局被评为“2019-2021年度全国农产品成本调查工作先进集体”和“省价格认定案卷归档和‘业务上网、数据入库’表现突出单位”。</w:t>
      </w:r>
      <w:bookmarkEnd w:id="2"/>
    </w:p>
    <w:p>
      <w:pPr>
        <w:widowControl/>
        <w:spacing w:line="600" w:lineRule="exact"/>
        <w:ind w:firstLine="643" w:firstLineChars="200"/>
        <w:rPr>
          <w:rFonts w:hint="eastAsia" w:ascii="仿宋" w:hAnsi="仿宋" w:eastAsia="仿宋"/>
          <w:b/>
          <w:sz w:val="32"/>
          <w:szCs w:val="32"/>
          <w:lang w:eastAsia="zh-CN"/>
        </w:rPr>
      </w:pPr>
      <w:r>
        <w:rPr>
          <w:rFonts w:hint="eastAsia" w:ascii="楷体_GB2312" w:hAnsi="楷体_GB2312" w:eastAsia="楷体_GB2312" w:cs="楷体_GB2312"/>
          <w:b/>
          <w:bCs/>
          <w:sz w:val="32"/>
          <w:szCs w:val="32"/>
          <w:lang w:val="en-US" w:eastAsia="zh-CN"/>
        </w:rPr>
        <w:t>4</w:t>
      </w:r>
      <w:r>
        <w:rPr>
          <w:rFonts w:hint="eastAsia" w:ascii="楷体_GB2312" w:hAnsi="楷体_GB2312" w:eastAsia="楷体_GB2312" w:cs="楷体_GB2312"/>
          <w:b/>
          <w:bCs/>
          <w:sz w:val="32"/>
          <w:szCs w:val="32"/>
        </w:rPr>
        <w:t>.扎实做好粮食工作。</w:t>
      </w:r>
      <w:r>
        <w:rPr>
          <w:rFonts w:hint="eastAsia" w:eastAsia="仿宋_GB2312"/>
          <w:bCs/>
          <w:sz w:val="32"/>
          <w:szCs w:val="32"/>
        </w:rPr>
        <w:t>加强地方储备粮管理，现有地方储备粮总规模</w:t>
      </w:r>
      <w:r>
        <w:rPr>
          <w:rFonts w:hint="eastAsia" w:ascii="仿宋_GB2312" w:eastAsia="仿宋_GB2312"/>
          <w:kern w:val="0"/>
          <w:sz w:val="32"/>
          <w:szCs w:val="32"/>
        </w:rPr>
        <w:t>1.2万吨，</w:t>
      </w:r>
      <w:r>
        <w:rPr>
          <w:rFonts w:hint="eastAsia" w:eastAsia="仿宋_GB2312"/>
          <w:bCs/>
          <w:sz w:val="32"/>
          <w:szCs w:val="32"/>
        </w:rPr>
        <w:t>粮食数量真实、质量良好、储存安全。落实应急成品粮储备，完成应急成品粮储备建设任务</w:t>
      </w:r>
      <w:r>
        <w:rPr>
          <w:rFonts w:hint="eastAsia" w:ascii="仿宋_GB2312" w:eastAsia="仿宋_GB2312"/>
          <w:kern w:val="0"/>
          <w:sz w:val="32"/>
          <w:szCs w:val="32"/>
        </w:rPr>
        <w:t>440吨，</w:t>
      </w:r>
      <w:r>
        <w:rPr>
          <w:rFonts w:hint="eastAsia" w:eastAsia="仿宋_GB2312"/>
          <w:bCs/>
          <w:sz w:val="32"/>
          <w:szCs w:val="32"/>
        </w:rPr>
        <w:t>为市政府下达任</w:t>
      </w:r>
      <w:r>
        <w:rPr>
          <w:rFonts w:hint="eastAsia" w:ascii="仿宋_GB2312" w:eastAsia="仿宋_GB2312"/>
          <w:kern w:val="0"/>
          <w:sz w:val="32"/>
          <w:szCs w:val="32"/>
        </w:rPr>
        <w:t>务的100%。</w:t>
      </w:r>
      <w:r>
        <w:rPr>
          <w:rFonts w:hint="eastAsia" w:eastAsia="仿宋_GB2312"/>
          <w:bCs/>
          <w:sz w:val="32"/>
          <w:szCs w:val="32"/>
        </w:rPr>
        <w:t>做好地方临储粮收购工作，落实收购计划</w:t>
      </w:r>
      <w:r>
        <w:rPr>
          <w:rFonts w:hint="eastAsia" w:ascii="仿宋_GB2312" w:eastAsia="仿宋_GB2312"/>
          <w:kern w:val="0"/>
          <w:sz w:val="32"/>
          <w:szCs w:val="32"/>
        </w:rPr>
        <w:t>1000</w:t>
      </w:r>
      <w:r>
        <w:rPr>
          <w:rFonts w:hint="eastAsia" w:eastAsia="仿宋_GB2312"/>
          <w:bCs/>
          <w:sz w:val="32"/>
          <w:szCs w:val="32"/>
        </w:rPr>
        <w:t>吨。推进粮油产业高质量发展，</w:t>
      </w:r>
      <w:r>
        <w:rPr>
          <w:rFonts w:hint="eastAsia" w:ascii="仿宋_GB2312" w:eastAsia="仿宋_GB2312"/>
          <w:kern w:val="0"/>
          <w:sz w:val="32"/>
          <w:szCs w:val="32"/>
        </w:rPr>
        <w:t>全年实现粮油工业总产值2.99亿元。</w:t>
      </w:r>
      <w:r>
        <w:rPr>
          <w:rFonts w:hint="eastAsia" w:eastAsia="仿宋_GB2312"/>
          <w:bCs/>
          <w:sz w:val="32"/>
          <w:szCs w:val="32"/>
        </w:rPr>
        <w:t>积极推介优质粮油产品，溆浦绿之然农业发展有限公司生产的“绿之然”大米荣获</w:t>
      </w:r>
      <w:r>
        <w:rPr>
          <w:rFonts w:hint="eastAsia" w:ascii="仿宋_GB2312" w:eastAsia="仿宋_GB2312"/>
          <w:kern w:val="0"/>
          <w:sz w:val="32"/>
          <w:szCs w:val="32"/>
        </w:rPr>
        <w:t>2022</w:t>
      </w:r>
      <w:r>
        <w:rPr>
          <w:rFonts w:hint="eastAsia" w:eastAsia="仿宋_GB2312"/>
          <w:bCs/>
          <w:sz w:val="32"/>
          <w:szCs w:val="32"/>
        </w:rPr>
        <w:t>年度“湖南好粮油”产品称号。</w:t>
      </w:r>
    </w:p>
    <w:p>
      <w:pPr>
        <w:spacing w:line="600" w:lineRule="exact"/>
        <w:ind w:firstLine="643" w:firstLineChars="200"/>
        <w:rPr>
          <w:rFonts w:hint="default" w:ascii="仿宋" w:hAnsi="仿宋" w:eastAsia="仿宋" w:cs="仿宋_GB2312"/>
          <w:b/>
          <w:bCs/>
          <w:sz w:val="32"/>
          <w:szCs w:val="32"/>
          <w:lang w:val="en-US" w:eastAsia="zh-CN"/>
        </w:rPr>
      </w:pPr>
      <w:r>
        <w:rPr>
          <w:rFonts w:hint="eastAsia" w:ascii="仿宋" w:hAnsi="仿宋" w:eastAsia="仿宋" w:cs="仿宋_GB2312"/>
          <w:b/>
          <w:bCs/>
          <w:sz w:val="32"/>
          <w:szCs w:val="32"/>
          <w:lang w:eastAsia="zh-CN"/>
        </w:rPr>
        <w:t>（二）经济效能分析</w:t>
      </w:r>
    </w:p>
    <w:p>
      <w:pPr>
        <w:widowControl/>
        <w:spacing w:line="600" w:lineRule="exact"/>
        <w:ind w:firstLine="643" w:firstLineChars="200"/>
        <w:rPr>
          <w:rFonts w:ascii="仿宋" w:hAnsi="仿宋" w:eastAsia="仿宋"/>
          <w:sz w:val="32"/>
          <w:szCs w:val="32"/>
        </w:rPr>
      </w:pPr>
      <w:r>
        <w:rPr>
          <w:rFonts w:hint="eastAsia" w:ascii="仿宋" w:hAnsi="仿宋" w:eastAsia="仿宋"/>
          <w:b/>
          <w:bCs/>
          <w:sz w:val="32"/>
          <w:szCs w:val="32"/>
          <w:lang w:val="en-US" w:eastAsia="zh-CN"/>
        </w:rPr>
        <w:t>1、</w:t>
      </w:r>
      <w:r>
        <w:rPr>
          <w:rFonts w:hint="eastAsia" w:ascii="仿宋" w:hAnsi="仿宋" w:eastAsia="仿宋"/>
          <w:b/>
          <w:bCs/>
          <w:sz w:val="32"/>
          <w:szCs w:val="32"/>
        </w:rPr>
        <w:t>机关节能降耗。</w:t>
      </w:r>
      <w:r>
        <w:rPr>
          <w:rFonts w:hint="eastAsia" w:ascii="仿宋" w:hAnsi="仿宋" w:eastAsia="仿宋"/>
          <w:sz w:val="32"/>
          <w:szCs w:val="32"/>
        </w:rPr>
        <w:t>一是严格用电管理。倡导在自然光照较好的条件下不使用照明灯具，使用照明工具时保证人走灯灭，杜绝“长明灯”等能耗空放现象；二是严格用水管理。人走</w:t>
      </w:r>
      <w:r>
        <w:rPr>
          <w:rFonts w:hint="eastAsia" w:ascii="仿宋" w:hAnsi="仿宋" w:eastAsia="仿宋"/>
          <w:sz w:val="32"/>
          <w:szCs w:val="32"/>
          <w:lang w:eastAsia="zh-CN"/>
        </w:rPr>
        <w:t>时</w:t>
      </w:r>
      <w:r>
        <w:rPr>
          <w:rFonts w:hint="eastAsia" w:ascii="仿宋" w:hAnsi="仿宋" w:eastAsia="仿宋"/>
          <w:sz w:val="32"/>
          <w:szCs w:val="32"/>
        </w:rPr>
        <w:t>及时关紧水龙头，杜绝“长流水”和“跑、冒、滴、漏”现象。三是推行无纸化办公。尽量利用网络传输文件，在电脑上修改文稿；打印材料时，提倡双面用纸。</w:t>
      </w:r>
    </w:p>
    <w:p>
      <w:pPr>
        <w:pStyle w:val="5"/>
        <w:shd w:val="clear" w:color="auto" w:fill="FFFFFF"/>
        <w:spacing w:before="0" w:beforeAutospacing="0" w:after="0" w:afterAutospacing="0" w:line="480" w:lineRule="auto"/>
        <w:jc w:val="both"/>
        <w:rPr>
          <w:rFonts w:hint="eastAsia" w:ascii="仿宋" w:hAnsi="仿宋" w:eastAsia="仿宋"/>
          <w:sz w:val="32"/>
          <w:szCs w:val="32"/>
          <w:lang w:eastAsia="zh-CN"/>
        </w:rPr>
      </w:pPr>
      <w:r>
        <w:rPr>
          <w:rFonts w:hint="eastAsia" w:ascii="仿宋" w:hAnsi="仿宋" w:eastAsia="仿宋"/>
          <w:sz w:val="32"/>
          <w:szCs w:val="32"/>
          <w:lang w:eastAsia="zh-CN"/>
        </w:rPr>
        <w:t>　</w:t>
      </w:r>
      <w:r>
        <w:rPr>
          <w:rFonts w:hint="eastAsia" w:ascii="仿宋" w:hAnsi="仿宋" w:eastAsia="仿宋"/>
          <w:sz w:val="32"/>
          <w:szCs w:val="32"/>
          <w:lang w:val="en-US" w:eastAsia="zh-CN"/>
        </w:rPr>
        <w:t xml:space="preserve"> </w:t>
      </w:r>
      <w:r>
        <w:rPr>
          <w:rFonts w:hint="eastAsia" w:ascii="仿宋" w:hAnsi="仿宋" w:eastAsia="仿宋"/>
          <w:b/>
          <w:bCs/>
          <w:sz w:val="32"/>
          <w:szCs w:val="32"/>
          <w:lang w:val="en-US" w:eastAsia="zh-CN"/>
        </w:rPr>
        <w:t xml:space="preserve"> 2</w:t>
      </w:r>
      <w:r>
        <w:rPr>
          <w:rFonts w:hint="eastAsia" w:ascii="仿宋" w:hAnsi="仿宋" w:eastAsia="仿宋"/>
          <w:b/>
          <w:bCs/>
          <w:sz w:val="32"/>
          <w:szCs w:val="32"/>
        </w:rPr>
        <w:t>、行政审批提速。</w:t>
      </w:r>
      <w:r>
        <w:rPr>
          <w:rFonts w:hint="eastAsia" w:ascii="仿宋_GB2312" w:eastAsia="仿宋_GB2312"/>
          <w:kern w:val="0"/>
          <w:sz w:val="32"/>
          <w:szCs w:val="32"/>
        </w:rPr>
        <w:t>进一步精简审批程序，提高审批时效。全年共完成项目审批、核准、备案206个，项目概算审批18个。依法依规做好招投标工作，规范招投标代理机构选取，严格评标专家管理，落实远程异地评标工作，进一步推进招投标领域信息化建设，进一步强化招投标现场监管。</w:t>
      </w:r>
    </w:p>
    <w:p>
      <w:pPr>
        <w:pStyle w:val="5"/>
        <w:shd w:val="clear" w:color="auto" w:fill="FFFFFF"/>
        <w:spacing w:before="0" w:beforeAutospacing="0" w:after="0" w:afterAutospacing="0" w:line="480" w:lineRule="auto"/>
        <w:ind w:firstLine="643" w:firstLineChars="200"/>
        <w:jc w:val="both"/>
        <w:rPr>
          <w:rFonts w:hint="eastAsia" w:ascii="仿宋" w:hAnsi="仿宋" w:eastAsia="仿宋"/>
          <w:sz w:val="32"/>
          <w:szCs w:val="32"/>
          <w:lang w:val="en-US" w:eastAsia="zh-CN"/>
        </w:rPr>
      </w:pPr>
      <w:r>
        <w:rPr>
          <w:rFonts w:hint="eastAsia" w:ascii="仿宋" w:hAnsi="仿宋" w:eastAsia="仿宋"/>
          <w:b/>
          <w:bCs/>
          <w:sz w:val="32"/>
          <w:szCs w:val="32"/>
          <w:lang w:val="en-US" w:eastAsia="zh-CN"/>
        </w:rPr>
        <w:t xml:space="preserve"> 3、节能减排。</w:t>
      </w:r>
      <w:r>
        <w:rPr>
          <w:rFonts w:hint="eastAsia" w:ascii="仿宋_GB2312" w:eastAsia="仿宋_GB2312"/>
          <w:kern w:val="0"/>
          <w:sz w:val="32"/>
          <w:szCs w:val="32"/>
        </w:rPr>
        <w:t>积极开展节能监察工作，协助我县新投产工业重点企业湘维有限公司进一步优化能耗能效指标，并同时进行能耗减量替代工作，保证湘维公司合法合规有序完成复工复产；指导江龙锰业有限责任公司35kt/a高纯锰生产线整体技改及配套中硅、低微碳锰铁生产线项目开展“两高”项目论证和节能审查；协助鸿新实业三个硅砂项目做好前期工作，与省市对接开展节能审查，确保项目顺利推进。开展了能源领域安全生产大检查大整治工作，我县能源领域未发生一起安全监管责任事故。</w:t>
      </w:r>
    </w:p>
    <w:p>
      <w:pPr>
        <w:pStyle w:val="5"/>
        <w:shd w:val="clear" w:color="auto" w:fill="FFFFFF"/>
        <w:spacing w:before="0" w:beforeAutospacing="0" w:after="0" w:afterAutospacing="0" w:line="480" w:lineRule="auto"/>
        <w:ind w:firstLine="643" w:firstLineChars="200"/>
        <w:jc w:val="both"/>
        <w:rPr>
          <w:rFonts w:hint="eastAsia" w:ascii="仿宋" w:hAnsi="仿宋" w:eastAsia="仿宋"/>
          <w:b/>
          <w:sz w:val="32"/>
          <w:szCs w:val="32"/>
        </w:rPr>
      </w:pPr>
      <w:r>
        <w:rPr>
          <w:rFonts w:hint="eastAsia" w:ascii="仿宋" w:hAnsi="仿宋" w:eastAsia="仿宋"/>
          <w:b/>
          <w:sz w:val="32"/>
          <w:szCs w:val="32"/>
        </w:rPr>
        <w:t>（三）</w:t>
      </w:r>
      <w:r>
        <w:rPr>
          <w:rFonts w:hint="eastAsia" w:ascii="仿宋" w:hAnsi="仿宋" w:eastAsia="仿宋"/>
          <w:b/>
          <w:sz w:val="32"/>
          <w:szCs w:val="32"/>
          <w:lang w:eastAsia="zh-CN"/>
        </w:rPr>
        <w:t>有效性</w:t>
      </w:r>
      <w:r>
        <w:rPr>
          <w:rFonts w:hint="eastAsia" w:ascii="仿宋" w:hAnsi="仿宋" w:eastAsia="仿宋"/>
          <w:b/>
          <w:sz w:val="32"/>
          <w:szCs w:val="32"/>
        </w:rPr>
        <w:t>分析</w:t>
      </w:r>
    </w:p>
    <w:p>
      <w:pPr>
        <w:ind w:firstLine="643" w:firstLineChars="200"/>
        <w:rPr>
          <w:rFonts w:ascii="仿宋_GB2312" w:hAnsi="仿宋_GB2312" w:eastAsia="仿宋_GB2312" w:cs="仿宋_GB2312"/>
          <w:kern w:val="0"/>
          <w:sz w:val="32"/>
          <w:szCs w:val="32"/>
        </w:rPr>
      </w:pPr>
      <w:r>
        <w:rPr>
          <w:rFonts w:hint="eastAsia" w:ascii="仿宋" w:hAnsi="仿宋" w:eastAsia="仿宋"/>
          <w:b/>
          <w:bCs/>
          <w:sz w:val="32"/>
          <w:szCs w:val="32"/>
        </w:rPr>
        <w:t>1、</w:t>
      </w:r>
      <w:r>
        <w:rPr>
          <w:rFonts w:hint="eastAsia" w:ascii="仿宋" w:hAnsi="仿宋" w:eastAsia="仿宋"/>
          <w:b/>
          <w:bCs/>
          <w:sz w:val="32"/>
          <w:szCs w:val="32"/>
          <w:lang w:eastAsia="zh-CN"/>
        </w:rPr>
        <w:t>经济</w:t>
      </w:r>
      <w:r>
        <w:rPr>
          <w:rFonts w:hint="eastAsia" w:ascii="仿宋" w:hAnsi="仿宋" w:eastAsia="仿宋"/>
          <w:b/>
          <w:bCs/>
          <w:sz w:val="32"/>
          <w:szCs w:val="32"/>
        </w:rPr>
        <w:t>效益。</w:t>
      </w:r>
      <w:r>
        <w:rPr>
          <w:rFonts w:hint="eastAsia" w:ascii="仿宋" w:hAnsi="仿宋" w:eastAsia="仿宋" w:cs="Times New Roman"/>
          <w:sz w:val="32"/>
          <w:szCs w:val="32"/>
        </w:rPr>
        <w:t>重点项目建设持续推进，</w:t>
      </w:r>
      <w:r>
        <w:rPr>
          <w:rFonts w:hint="eastAsia" w:ascii="仿宋" w:hAnsi="仿宋" w:eastAsia="仿宋"/>
          <w:sz w:val="32"/>
          <w:szCs w:val="32"/>
        </w:rPr>
        <w:t>促进全县固定资产投资</w:t>
      </w:r>
      <w:r>
        <w:rPr>
          <w:rFonts w:hint="eastAsia" w:ascii="仿宋" w:hAnsi="仿宋" w:eastAsia="仿宋" w:cs="楷体_GB2312"/>
          <w:bCs/>
          <w:sz w:val="32"/>
          <w:szCs w:val="32"/>
        </w:rPr>
        <w:t>较快增长。</w:t>
      </w:r>
      <w:r>
        <w:rPr>
          <w:rFonts w:hint="eastAsia" w:ascii="仿宋" w:hAnsi="仿宋" w:eastAsia="仿宋"/>
          <w:color w:val="000000"/>
          <w:sz w:val="32"/>
          <w:szCs w:val="32"/>
          <w:shd w:val="clear" w:color="auto" w:fill="FFFFFF"/>
          <w:lang w:eastAsia="zh-CN"/>
        </w:rPr>
        <w:t>2022年</w:t>
      </w:r>
      <w:r>
        <w:rPr>
          <w:rFonts w:hint="eastAsia" w:ascii="仿宋" w:hAnsi="仿宋" w:eastAsia="仿宋"/>
          <w:color w:val="000000"/>
          <w:sz w:val="32"/>
          <w:szCs w:val="32"/>
          <w:shd w:val="clear" w:color="auto" w:fill="FFFFFF"/>
        </w:rPr>
        <w:t>，</w:t>
      </w:r>
      <w:r>
        <w:rPr>
          <w:rFonts w:hint="eastAsia" w:ascii="仿宋" w:hAnsi="仿宋" w:eastAsia="仿宋"/>
          <w:color w:val="000000"/>
          <w:sz w:val="32"/>
          <w:szCs w:val="32"/>
          <w:shd w:val="clear" w:color="auto" w:fill="FFFFFF"/>
          <w:lang w:eastAsia="zh-CN"/>
        </w:rPr>
        <w:t>我县有</w:t>
      </w:r>
      <w:r>
        <w:rPr>
          <w:rFonts w:hint="eastAsia" w:ascii="仿宋_GB2312" w:eastAsia="仿宋_GB2312"/>
          <w:kern w:val="0"/>
          <w:sz w:val="32"/>
          <w:szCs w:val="32"/>
        </w:rPr>
        <w:t>1个省重大产业支撑项目、17个市重点建设项目、48个县重点建设项目，分别完成投资3.5亿元、39.32亿元、47.53亿元，省重大产业支撑项目和市重点建设项目分别超年度计划投资12.9个百分点、10.72个百分点。固定资产投资同比增长13.5%，超年初预期目标2.5个百分点。</w:t>
      </w:r>
    </w:p>
    <w:p>
      <w:pPr>
        <w:ind w:firstLine="643" w:firstLineChars="200"/>
        <w:rPr>
          <w:rFonts w:ascii="仿宋_GB2312" w:eastAsia="仿宋_GB2312"/>
          <w:kern w:val="0"/>
          <w:sz w:val="32"/>
          <w:szCs w:val="32"/>
        </w:rPr>
      </w:pPr>
      <w:r>
        <w:rPr>
          <w:rFonts w:hint="eastAsia" w:ascii="仿宋" w:hAnsi="仿宋" w:eastAsia="仿宋" w:cs="仿宋"/>
          <w:b/>
          <w:bCs/>
          <w:color w:val="000000"/>
          <w:sz w:val="32"/>
          <w:szCs w:val="32"/>
          <w:shd w:val="clear" w:color="auto" w:fill="FFFFFF"/>
          <w:lang w:val="en-US" w:eastAsia="zh-CN"/>
        </w:rPr>
        <w:t>2、社会效益。</w:t>
      </w:r>
      <w:r>
        <w:rPr>
          <w:rFonts w:hint="eastAsia" w:ascii="仿宋" w:hAnsi="仿宋" w:eastAsia="仿宋" w:cs="仿宋"/>
          <w:color w:val="000000"/>
          <w:sz w:val="32"/>
          <w:szCs w:val="32"/>
          <w:shd w:val="clear" w:color="auto" w:fill="FFFFFF"/>
          <w:lang w:val="en-US" w:eastAsia="zh-CN"/>
        </w:rPr>
        <w:t>2022年</w:t>
      </w:r>
      <w:r>
        <w:rPr>
          <w:rFonts w:hint="eastAsia" w:ascii="仿宋_GB2312" w:eastAsia="仿宋_GB2312"/>
          <w:kern w:val="0"/>
          <w:sz w:val="32"/>
          <w:szCs w:val="32"/>
        </w:rPr>
        <w:t>社会信用体系建设市场主体认证等多项工作任务位居全市第一，年度信用体系建设工作被市信用办评为优秀县市。</w:t>
      </w:r>
    </w:p>
    <w:p>
      <w:pPr>
        <w:pStyle w:val="8"/>
        <w:numPr>
          <w:ilvl w:val="0"/>
          <w:numId w:val="0"/>
        </w:numPr>
        <w:ind w:left="640" w:leftChars="0"/>
        <w:jc w:val="left"/>
        <w:rPr>
          <w:rFonts w:hint="eastAsia" w:ascii="黑体" w:hAnsi="黑体" w:eastAsia="黑体"/>
          <w:b/>
          <w:bCs/>
          <w:sz w:val="32"/>
          <w:szCs w:val="32"/>
        </w:rPr>
      </w:pPr>
      <w:r>
        <w:rPr>
          <w:rFonts w:hint="eastAsia" w:ascii="黑体" w:hAnsi="黑体" w:eastAsia="黑体"/>
          <w:b/>
          <w:bCs/>
          <w:sz w:val="32"/>
          <w:szCs w:val="32"/>
        </w:rPr>
        <w:t>五、存在的主要问题</w:t>
      </w:r>
    </w:p>
    <w:p>
      <w:pPr>
        <w:pStyle w:val="5"/>
        <w:shd w:val="clear" w:color="auto" w:fill="FFFFFF"/>
        <w:spacing w:before="0" w:beforeAutospacing="0" w:after="0" w:afterAutospacing="0" w:line="480" w:lineRule="auto"/>
        <w:ind w:firstLine="480"/>
        <w:jc w:val="both"/>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通过前述对我单位整体支出情况的分析，反映出目前在整体支出的预算编制、执行和管理过程中，依然存在一些问题和不足：预算执行情况不是很好，资金难以及时拨付到位等。</w:t>
      </w:r>
    </w:p>
    <w:p>
      <w:pPr>
        <w:pStyle w:val="8"/>
        <w:numPr>
          <w:ilvl w:val="0"/>
          <w:numId w:val="0"/>
        </w:numPr>
        <w:ind w:left="640" w:leftChars="0"/>
        <w:jc w:val="left"/>
        <w:rPr>
          <w:rFonts w:hint="eastAsia" w:ascii="黑体" w:hAnsi="黑体" w:eastAsia="黑体"/>
          <w:b/>
          <w:bCs/>
          <w:sz w:val="32"/>
          <w:szCs w:val="32"/>
        </w:rPr>
      </w:pPr>
      <w:r>
        <w:rPr>
          <w:rFonts w:hint="eastAsia" w:ascii="黑体" w:hAnsi="黑体" w:eastAsia="黑体"/>
          <w:b/>
          <w:bCs/>
          <w:sz w:val="32"/>
          <w:szCs w:val="32"/>
        </w:rPr>
        <w:t>六、改进措施和有关建议</w:t>
      </w:r>
    </w:p>
    <w:p>
      <w:pPr>
        <w:pStyle w:val="5"/>
        <w:shd w:val="clear" w:color="auto" w:fill="FFFFFF"/>
        <w:spacing w:before="0" w:beforeAutospacing="0" w:after="0" w:afterAutospacing="0" w:line="480" w:lineRule="auto"/>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rPr>
        <w:t>1、规范财务管理</w:t>
      </w:r>
      <w:r>
        <w:rPr>
          <w:rFonts w:hint="eastAsia" w:ascii="仿宋" w:hAnsi="仿宋" w:eastAsia="仿宋" w:cs="仿宋"/>
          <w:sz w:val="32"/>
          <w:szCs w:val="32"/>
          <w:lang w:eastAsia="zh-CN"/>
        </w:rPr>
        <w:t>。</w:t>
      </w:r>
      <w:r>
        <w:rPr>
          <w:rFonts w:hint="eastAsia" w:ascii="仿宋" w:hAnsi="仿宋" w:eastAsia="仿宋" w:cs="仿宋"/>
          <w:sz w:val="32"/>
          <w:szCs w:val="32"/>
        </w:rPr>
        <w:t>严格按照《会计法》、《</w:t>
      </w:r>
      <w:r>
        <w:rPr>
          <w:rFonts w:hint="eastAsia" w:ascii="仿宋" w:hAnsi="仿宋" w:eastAsia="仿宋" w:cs="仿宋"/>
          <w:sz w:val="32"/>
          <w:szCs w:val="32"/>
          <w:lang w:eastAsia="zh-CN"/>
        </w:rPr>
        <w:t>政府财务制度</w:t>
      </w:r>
      <w:r>
        <w:rPr>
          <w:rFonts w:hint="eastAsia" w:ascii="仿宋" w:hAnsi="仿宋" w:eastAsia="仿宋" w:cs="仿宋"/>
          <w:sz w:val="32"/>
          <w:szCs w:val="32"/>
        </w:rPr>
        <w:t>》等规定，结合实际情况，严格执行单位经费支出制度，规范财务核算，严格控制，尽力避免超预算开支的情况发生</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p>
    <w:p>
      <w:pPr>
        <w:pStyle w:val="5"/>
        <w:shd w:val="clear" w:color="auto" w:fill="FFFFFF"/>
        <w:spacing w:before="0" w:beforeAutospacing="0" w:after="0" w:afterAutospacing="0" w:line="480" w:lineRule="auto"/>
        <w:ind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细化预算编制工作。进一步加强全局预算管理意识，严格按照预算编制的相关制度和要求，公用经费根据单位的年度工作重点和项目专项工作规划，本着“勤俭节约、保障运转”的原则进行预算的编制</w:t>
      </w:r>
      <w:r>
        <w:rPr>
          <w:rFonts w:hint="eastAsia" w:ascii="仿宋" w:hAnsi="仿宋" w:eastAsia="仿宋" w:cs="仿宋"/>
          <w:sz w:val="32"/>
          <w:szCs w:val="32"/>
          <w:lang w:eastAsia="zh-CN"/>
        </w:rPr>
        <w:t>，</w:t>
      </w:r>
      <w:r>
        <w:rPr>
          <w:rFonts w:hint="eastAsia" w:ascii="仿宋" w:hAnsi="仿宋" w:eastAsia="仿宋" w:cs="仿宋"/>
          <w:sz w:val="32"/>
          <w:szCs w:val="32"/>
        </w:rPr>
        <w:t>进一步提高预算编制的科学性、合理性、严谨性和可控性。</w:t>
      </w:r>
    </w:p>
    <w:p>
      <w:pPr>
        <w:pStyle w:val="5"/>
        <w:shd w:val="clear" w:color="auto" w:fill="FFFFFF"/>
        <w:spacing w:before="0" w:beforeAutospacing="0" w:after="0" w:afterAutospacing="0" w:line="480" w:lineRule="auto"/>
        <w:ind w:firstLine="640" w:firstLineChars="200"/>
        <w:jc w:val="both"/>
        <w:rPr>
          <w:rFonts w:hint="eastAsia" w:ascii="仿宋" w:hAnsi="仿宋" w:eastAsia="仿宋" w:cs="仿宋"/>
          <w:sz w:val="32"/>
          <w:szCs w:val="32"/>
        </w:rPr>
      </w:pPr>
      <w:r>
        <w:rPr>
          <w:rFonts w:hint="eastAsia" w:ascii="仿宋" w:hAnsi="仿宋" w:eastAsia="仿宋" w:cs="仿宋"/>
          <w:sz w:val="32"/>
          <w:szCs w:val="32"/>
        </w:rPr>
        <w:t>3、预算绩效管理是是一项综合性很强的工作，也是一项技术水平要求比较高的工作。通过开展绩效评价工作，我们也发现了在资金管理中所存在的问题，以后将不断的改进和完善。但因本局财务人员的业务水平还有待提高，希望县财政局多组织业务培训，对我局多加强业务指导，促进我局不断提升预算管理水平。</w:t>
      </w:r>
    </w:p>
    <w:p>
      <w:pPr>
        <w:widowControl/>
        <w:spacing w:line="600" w:lineRule="exact"/>
        <w:ind w:firstLine="640" w:firstLineChars="200"/>
        <w:rPr>
          <w:rFonts w:ascii="仿宋" w:hAnsi="仿宋" w:eastAsia="仿宋"/>
          <w:sz w:val="32"/>
          <w:szCs w:val="32"/>
        </w:rPr>
      </w:pPr>
    </w:p>
    <w:p>
      <w:pPr>
        <w:widowControl/>
        <w:spacing w:line="600" w:lineRule="exact"/>
        <w:ind w:firstLine="640" w:firstLineChars="200"/>
        <w:rPr>
          <w:rFonts w:ascii="仿宋" w:hAnsi="仿宋" w:eastAsia="仿宋"/>
          <w:sz w:val="32"/>
          <w:szCs w:val="32"/>
        </w:rPr>
      </w:pPr>
    </w:p>
    <w:p>
      <w:pPr>
        <w:widowControl/>
        <w:spacing w:line="600" w:lineRule="exact"/>
        <w:rPr>
          <w:rFonts w:ascii="仿宋" w:hAnsi="仿宋" w:eastAsia="仿宋"/>
          <w:sz w:val="32"/>
          <w:szCs w:val="32"/>
        </w:rPr>
      </w:pPr>
      <w:r>
        <w:rPr>
          <w:rFonts w:hint="eastAsia" w:ascii="仿宋" w:hAnsi="仿宋" w:eastAsia="仿宋"/>
          <w:sz w:val="32"/>
          <w:szCs w:val="32"/>
        </w:rPr>
        <w:t xml:space="preserve">                            </w:t>
      </w:r>
      <w:bookmarkStart w:id="3" w:name="_GoBack"/>
      <w:bookmarkEnd w:id="3"/>
    </w:p>
    <w:sectPr>
      <w:footerReference r:id="rId3" w:type="default"/>
      <w:pgSz w:w="11906" w:h="16838"/>
      <w:pgMar w:top="1985"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粗黑宋简体">
    <w:altName w:val="宋体"/>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90673959"/>
                            <w:docPartObj>
                              <w:docPartGallery w:val="autotext"/>
                            </w:docPartObj>
                          </w:sdtPr>
                          <w:sdtContent>
                            <w:p>
                              <w:pPr>
                                <w:pStyle w:val="3"/>
                                <w:jc w:val="right"/>
                              </w:pPr>
                              <w:r>
                                <w:fldChar w:fldCharType="begin"/>
                              </w:r>
                              <w:r>
                                <w:instrText xml:space="preserve"> PAGE   \* MERGEFORMAT </w:instrText>
                              </w:r>
                              <w:r>
                                <w:fldChar w:fldCharType="separate"/>
                              </w:r>
                              <w:r>
                                <w:rPr>
                                  <w:lang w:val="zh-CN"/>
                                </w:rPr>
                                <w:t>10</w:t>
                              </w:r>
                              <w:r>
                                <w:rPr>
                                  <w:lang w:val="zh-CN"/>
                                </w:rP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90673959"/>
                      <w:docPartObj>
                        <w:docPartGallery w:val="autotext"/>
                      </w:docPartObj>
                    </w:sdtPr>
                    <w:sdtContent>
                      <w:p>
                        <w:pPr>
                          <w:pStyle w:val="3"/>
                          <w:jc w:val="right"/>
                        </w:pPr>
                        <w:r>
                          <w:fldChar w:fldCharType="begin"/>
                        </w:r>
                        <w:r>
                          <w:instrText xml:space="preserve"> PAGE   \* MERGEFORMAT </w:instrText>
                        </w:r>
                        <w:r>
                          <w:fldChar w:fldCharType="separate"/>
                        </w:r>
                        <w:r>
                          <w:rPr>
                            <w:lang w:val="zh-CN"/>
                          </w:rPr>
                          <w:t>10</w:t>
                        </w:r>
                        <w:r>
                          <w:rPr>
                            <w:lang w:val="zh-CN"/>
                          </w:rPr>
                          <w:fldChar w:fldCharType="end"/>
                        </w:r>
                      </w:p>
                    </w:sdtContent>
                  </w:sdt>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DF2766"/>
    <w:multiLevelType w:val="multilevel"/>
    <w:tmpl w:val="21DF2766"/>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31BC4235"/>
    <w:multiLevelType w:val="multilevel"/>
    <w:tmpl w:val="31BC4235"/>
    <w:lvl w:ilvl="0" w:tentative="0">
      <w:start w:val="2"/>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1MTJmYzUzYTc5MmNjNjIzMDI1ODE2Mzc2Yzc0NzgifQ=="/>
  </w:docVars>
  <w:rsids>
    <w:rsidRoot w:val="0004043B"/>
    <w:rsid w:val="00016754"/>
    <w:rsid w:val="0004043B"/>
    <w:rsid w:val="001719B5"/>
    <w:rsid w:val="00183B9C"/>
    <w:rsid w:val="002E4ADA"/>
    <w:rsid w:val="002E6440"/>
    <w:rsid w:val="004246FC"/>
    <w:rsid w:val="00430E1A"/>
    <w:rsid w:val="004A21A9"/>
    <w:rsid w:val="004A7129"/>
    <w:rsid w:val="00621FDD"/>
    <w:rsid w:val="006B14B9"/>
    <w:rsid w:val="0084327E"/>
    <w:rsid w:val="0089053E"/>
    <w:rsid w:val="008C03A6"/>
    <w:rsid w:val="00925F6C"/>
    <w:rsid w:val="00961CAB"/>
    <w:rsid w:val="009A3C56"/>
    <w:rsid w:val="009B4BA4"/>
    <w:rsid w:val="009E7FE7"/>
    <w:rsid w:val="00A60A91"/>
    <w:rsid w:val="00A94EC6"/>
    <w:rsid w:val="00AF50D5"/>
    <w:rsid w:val="00C3399D"/>
    <w:rsid w:val="00CE0DC0"/>
    <w:rsid w:val="00DB640E"/>
    <w:rsid w:val="00F018A2"/>
    <w:rsid w:val="00F321FF"/>
    <w:rsid w:val="00F365A0"/>
    <w:rsid w:val="00F41BFB"/>
    <w:rsid w:val="00F7739B"/>
    <w:rsid w:val="02373EF3"/>
    <w:rsid w:val="05190587"/>
    <w:rsid w:val="05BB17D6"/>
    <w:rsid w:val="0C6C0C89"/>
    <w:rsid w:val="110C5C5E"/>
    <w:rsid w:val="163B18F1"/>
    <w:rsid w:val="16FC68D1"/>
    <w:rsid w:val="1905632E"/>
    <w:rsid w:val="192C797B"/>
    <w:rsid w:val="19AA3BAD"/>
    <w:rsid w:val="1A517878"/>
    <w:rsid w:val="1B223A0C"/>
    <w:rsid w:val="1D984CA4"/>
    <w:rsid w:val="25157DB0"/>
    <w:rsid w:val="2D881F53"/>
    <w:rsid w:val="2DC72FA8"/>
    <w:rsid w:val="2E7110F5"/>
    <w:rsid w:val="2FB605B3"/>
    <w:rsid w:val="309C7003"/>
    <w:rsid w:val="325239F6"/>
    <w:rsid w:val="336A1CF9"/>
    <w:rsid w:val="3E7F08C6"/>
    <w:rsid w:val="40ED3216"/>
    <w:rsid w:val="41856F3A"/>
    <w:rsid w:val="45B11776"/>
    <w:rsid w:val="4C8B5483"/>
    <w:rsid w:val="4F2D45D2"/>
    <w:rsid w:val="4F345FE6"/>
    <w:rsid w:val="51755300"/>
    <w:rsid w:val="5306086D"/>
    <w:rsid w:val="588F3234"/>
    <w:rsid w:val="5D7714F6"/>
    <w:rsid w:val="60BE1A48"/>
    <w:rsid w:val="617170F1"/>
    <w:rsid w:val="692B7621"/>
    <w:rsid w:val="6B54026B"/>
    <w:rsid w:val="6B96571C"/>
    <w:rsid w:val="6E0F17B6"/>
    <w:rsid w:val="6EAD461B"/>
    <w:rsid w:val="758B795D"/>
    <w:rsid w:val="75911ECC"/>
    <w:rsid w:val="7C0E0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lock Text"/>
    <w:basedOn w:val="1"/>
    <w:unhideWhenUsed/>
    <w:qFormat/>
    <w:uiPriority w:val="99"/>
    <w:pPr>
      <w:spacing w:after="120"/>
      <w:ind w:left="1440" w:leftChars="700" w:right="1440" w:rightChars="700"/>
    </w:pPr>
    <w:rPr>
      <w:szCs w:val="24"/>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List Paragraph"/>
    <w:basedOn w:val="1"/>
    <w:qFormat/>
    <w:uiPriority w:val="34"/>
    <w:pPr>
      <w:ind w:firstLine="420" w:firstLineChars="200"/>
    </w:p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4527</Words>
  <Characters>4799</Characters>
  <Lines>33</Lines>
  <Paragraphs>9</Paragraphs>
  <TotalTime>42</TotalTime>
  <ScaleCrop>false</ScaleCrop>
  <LinksUpToDate>false</LinksUpToDate>
  <CharactersWithSpaces>4856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2020-06-11T08:06:00Z</dcterms:created>
  <dc:creator>Administrator</dc:creator>
  <cp:lastModifiedBy>Administrator</cp:lastModifiedBy>
  <cp:lastPrinted>2020-06-22T05:13:00Z</cp:lastPrinted>
  <dcterms:modified xsi:type="dcterms:W3CDTF">2023-08-18T07:57:28Z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C9E611FF99FB407ABC58A504580F5FDE</vt:lpwstr>
  </property>
</Properties>
</file>