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宋体" w:hAnsi="宋体" w:eastAsia="宋体" w:cs="宋体"/>
          <w:b/>
          <w:sz w:val="44"/>
          <w:szCs w:val="44"/>
        </w:rPr>
      </w:pPr>
      <w:r>
        <w:rPr>
          <w:rFonts w:hint="eastAsia" w:ascii="宋体" w:hAnsi="宋体" w:eastAsia="宋体" w:cs="宋体"/>
          <w:b/>
          <w:sz w:val="44"/>
          <w:szCs w:val="44"/>
        </w:rPr>
        <w:t>县农经站202</w:t>
      </w:r>
      <w:r>
        <w:rPr>
          <w:rFonts w:hint="eastAsia" w:ascii="宋体" w:hAnsi="宋体" w:eastAsia="宋体" w:cs="宋体"/>
          <w:b/>
          <w:sz w:val="44"/>
          <w:szCs w:val="44"/>
          <w:lang w:val="en-US" w:eastAsia="zh-CN"/>
        </w:rPr>
        <w:t>2</w:t>
      </w:r>
      <w:r>
        <w:rPr>
          <w:rFonts w:hint="eastAsia" w:ascii="宋体" w:hAnsi="宋体" w:eastAsia="宋体" w:cs="宋体"/>
          <w:b/>
          <w:sz w:val="44"/>
          <w:szCs w:val="44"/>
        </w:rPr>
        <w:t>年部门整体支出绩效</w:t>
      </w:r>
    </w:p>
    <w:p>
      <w:pPr>
        <w:spacing w:line="600" w:lineRule="exact"/>
        <w:jc w:val="center"/>
        <w:rPr>
          <w:rFonts w:hint="eastAsia" w:ascii="宋体" w:hAnsi="宋体" w:eastAsia="宋体" w:cs="宋体"/>
          <w:b/>
          <w:sz w:val="44"/>
          <w:szCs w:val="44"/>
        </w:rPr>
      </w:pPr>
      <w:r>
        <w:rPr>
          <w:rFonts w:hint="eastAsia" w:ascii="宋体" w:hAnsi="宋体" w:eastAsia="宋体" w:cs="宋体"/>
          <w:b/>
          <w:sz w:val="44"/>
          <w:szCs w:val="44"/>
        </w:rPr>
        <w:t>自 评 报 告</w:t>
      </w:r>
    </w:p>
    <w:p>
      <w:pPr>
        <w:spacing w:line="600" w:lineRule="exact"/>
        <w:ind w:firstLine="640" w:firstLineChars="200"/>
        <w:rPr>
          <w:rFonts w:hint="eastAsia" w:ascii="仿宋_GB2312" w:hAnsi="仿宋_GB2312" w:eastAsia="仿宋_GB2312" w:cs="仿宋_GB2312"/>
          <w:sz w:val="32"/>
          <w:szCs w:val="32"/>
        </w:rPr>
      </w:pP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根据县财政局《溆浦县预算绩效评价管理办法》（溆政办发[2016]69号）和溆政财绩函[202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号文件精神，现将我站202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年度部门整体支出绩效评价情况报告如下：</w:t>
      </w:r>
    </w:p>
    <w:p>
      <w:pPr>
        <w:pStyle w:val="11"/>
        <w:numPr>
          <w:ilvl w:val="0"/>
          <w:numId w:val="1"/>
        </w:numPr>
        <w:spacing w:line="500" w:lineRule="exact"/>
        <w:ind w:firstLineChars="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部门概况</w:t>
      </w:r>
    </w:p>
    <w:p>
      <w:pPr>
        <w:pStyle w:val="11"/>
        <w:numPr>
          <w:ilvl w:val="0"/>
          <w:numId w:val="2"/>
        </w:numPr>
        <w:spacing w:line="500" w:lineRule="exact"/>
        <w:ind w:firstLineChars="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部门基本情况</w:t>
      </w:r>
    </w:p>
    <w:p>
      <w:pPr>
        <w:spacing w:line="500" w:lineRule="exact"/>
        <w:ind w:left="562"/>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1、机构设置、人员情况</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我站是参照公务员管理全额拨款的事业单位，核定编制18名，202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年底实有在职人员1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人，离退休人员</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人，享受遗属补助人员1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人。我站内设办公室、</w:t>
      </w:r>
      <w:r>
        <w:rPr>
          <w:rFonts w:hint="eastAsia" w:ascii="仿宋_GB2312" w:hAnsi="仿宋_GB2312" w:eastAsia="仿宋_GB2312" w:cs="仿宋_GB2312"/>
          <w:sz w:val="32"/>
          <w:szCs w:val="32"/>
          <w:lang w:eastAsia="zh-CN"/>
        </w:rPr>
        <w:t>土地室</w:t>
      </w:r>
      <w:r>
        <w:rPr>
          <w:rFonts w:hint="eastAsia" w:ascii="仿宋_GB2312" w:hAnsi="仿宋_GB2312" w:eastAsia="仿宋_GB2312" w:cs="仿宋_GB2312"/>
          <w:sz w:val="32"/>
          <w:szCs w:val="32"/>
        </w:rPr>
        <w:t>、经体</w:t>
      </w:r>
      <w:r>
        <w:rPr>
          <w:rFonts w:hint="eastAsia" w:ascii="仿宋_GB2312" w:hAnsi="仿宋_GB2312" w:eastAsia="仿宋_GB2312" w:cs="仿宋_GB2312"/>
          <w:sz w:val="32"/>
          <w:szCs w:val="32"/>
          <w:lang w:eastAsia="zh-CN"/>
        </w:rPr>
        <w:t>室</w:t>
      </w:r>
      <w:r>
        <w:rPr>
          <w:rFonts w:hint="eastAsia" w:ascii="仿宋_GB2312" w:hAnsi="仿宋_GB2312" w:eastAsia="仿宋_GB2312" w:cs="仿宋_GB2312"/>
          <w:sz w:val="32"/>
          <w:szCs w:val="32"/>
        </w:rPr>
        <w:t>和资财</w:t>
      </w:r>
      <w:r>
        <w:rPr>
          <w:rFonts w:hint="eastAsia" w:ascii="仿宋_GB2312" w:hAnsi="仿宋_GB2312" w:eastAsia="仿宋_GB2312" w:cs="仿宋_GB2312"/>
          <w:sz w:val="32"/>
          <w:szCs w:val="32"/>
          <w:lang w:eastAsia="zh-CN"/>
        </w:rPr>
        <w:t>室</w:t>
      </w:r>
      <w:r>
        <w:rPr>
          <w:rFonts w:hint="eastAsia" w:ascii="仿宋_GB2312" w:hAnsi="仿宋_GB2312" w:eastAsia="仿宋_GB2312" w:cs="仿宋_GB2312"/>
          <w:sz w:val="32"/>
          <w:szCs w:val="32"/>
        </w:rPr>
        <w:t>四个股室。</w:t>
      </w:r>
    </w:p>
    <w:p>
      <w:pPr>
        <w:spacing w:line="5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2、主要职能</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站主要职能是宣传、贯彻国家有关农村经济经营管理方针、政策；研究制订全县农村经济经营管理工作的制度、办法和措施；检查监督农村经济的贯彻执行情况；研究提出稳定和完善以家庭承包经营为主的责任制和统分结合双层经营体制的意见；指导全县农村土地承包、耕地使用权流转和承包合同管理等工作；负责指导全县乡村集体经济组织的建设、财务会计核算、资产管理和审计工作；负责对农民负担及农村“一事一议”情况进行监督管理；参与审核涉及农民负担的项目和文件；查处涉及农民负担的重大事件；指导农村各类专业合作经济组织建设；负责农村有关经济和社会发展的指标体系和统计工作；负责组织农村经济收支、农民收入情况的监测工作；承办农村土地确权、农村宅基地改革工作及农村产权制度改革工作，承办县委、县政府及上级主管部门交办的其它事项。</w:t>
      </w:r>
    </w:p>
    <w:p>
      <w:pPr>
        <w:spacing w:line="500" w:lineRule="exact"/>
        <w:ind w:firstLine="803" w:firstLineChars="25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3、主要工作任务</w:t>
      </w:r>
    </w:p>
    <w:p>
      <w:pPr>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年我站主要工作任务：一是</w:t>
      </w:r>
      <w:r>
        <w:rPr>
          <w:rFonts w:hint="eastAsia" w:ascii="仿宋_GB2312" w:hAnsi="仿宋_GB2312" w:eastAsia="仿宋_GB2312" w:cs="仿宋_GB2312"/>
          <w:sz w:val="32"/>
          <w:szCs w:val="32"/>
          <w:lang w:eastAsia="zh-CN"/>
        </w:rPr>
        <w:t>村社分账管理改革试点</w:t>
      </w:r>
      <w:r>
        <w:rPr>
          <w:rFonts w:hint="eastAsia" w:ascii="仿宋_GB2312" w:hAnsi="仿宋_GB2312" w:eastAsia="仿宋_GB2312" w:cs="仿宋_GB2312"/>
          <w:sz w:val="32"/>
          <w:szCs w:val="32"/>
        </w:rPr>
        <w:t>；二是</w:t>
      </w:r>
      <w:r>
        <w:rPr>
          <w:rFonts w:hint="eastAsia" w:ascii="仿宋_GB2312" w:hAnsi="仿宋_GB2312" w:eastAsia="仿宋_GB2312" w:cs="仿宋_GB2312"/>
          <w:kern w:val="0"/>
          <w:sz w:val="32"/>
          <w:szCs w:val="32"/>
          <w:shd w:val="clear" w:color="auto" w:fill="FFFFFF"/>
        </w:rPr>
        <w:t>农村土地承包经营</w:t>
      </w:r>
      <w:r>
        <w:rPr>
          <w:rFonts w:hint="eastAsia" w:ascii="仿宋_GB2312" w:hAnsi="仿宋_GB2312" w:eastAsia="仿宋_GB2312" w:cs="仿宋_GB2312"/>
          <w:kern w:val="0"/>
          <w:sz w:val="32"/>
          <w:szCs w:val="32"/>
          <w:shd w:val="clear" w:color="auto" w:fill="FFFFFF"/>
          <w:lang w:eastAsia="zh-CN"/>
        </w:rPr>
        <w:t>权确权登记“回头看”问题整改</w:t>
      </w:r>
      <w:r>
        <w:rPr>
          <w:rFonts w:hint="eastAsia" w:ascii="仿宋_GB2312" w:hAnsi="仿宋_GB2312" w:eastAsia="仿宋_GB2312" w:cs="仿宋_GB2312"/>
          <w:kern w:val="0"/>
          <w:sz w:val="32"/>
          <w:szCs w:val="32"/>
          <w:shd w:val="clear" w:color="auto" w:fill="FFFFFF"/>
        </w:rPr>
        <w:t>工作</w:t>
      </w:r>
      <w:r>
        <w:rPr>
          <w:rFonts w:hint="eastAsia" w:ascii="仿宋_GB2312" w:hAnsi="仿宋_GB2312" w:eastAsia="仿宋_GB2312" w:cs="仿宋_GB2312"/>
          <w:sz w:val="32"/>
          <w:szCs w:val="32"/>
        </w:rPr>
        <w:t>;三是</w:t>
      </w:r>
      <w:r>
        <w:rPr>
          <w:rFonts w:hint="eastAsia" w:ascii="仿宋_GB2312" w:hAnsi="仿宋_GB2312" w:eastAsia="仿宋_GB2312" w:cs="仿宋_GB2312"/>
          <w:sz w:val="32"/>
          <w:szCs w:val="32"/>
          <w:lang w:eastAsia="zh-CN"/>
        </w:rPr>
        <w:t>扶持培育农民专业合作社和家庭农场</w:t>
      </w:r>
      <w:r>
        <w:rPr>
          <w:rFonts w:hint="eastAsia" w:ascii="仿宋_GB2312" w:hAnsi="仿宋_GB2312" w:eastAsia="仿宋_GB2312" w:cs="仿宋_GB2312"/>
          <w:sz w:val="32"/>
          <w:szCs w:val="32"/>
        </w:rPr>
        <w:t>；四是</w:t>
      </w:r>
      <w:r>
        <w:rPr>
          <w:rFonts w:hint="eastAsia" w:ascii="仿宋_GB2312" w:hAnsi="仿宋_GB2312" w:eastAsia="仿宋_GB2312" w:cs="仿宋_GB2312"/>
          <w:sz w:val="32"/>
          <w:szCs w:val="32"/>
          <w:lang w:eastAsia="zh-CN"/>
        </w:rPr>
        <w:t>规范农村宅基地管理与改革</w:t>
      </w:r>
      <w:r>
        <w:rPr>
          <w:rFonts w:hint="eastAsia" w:ascii="仿宋_GB2312" w:hAnsi="仿宋_GB2312" w:eastAsia="仿宋_GB2312" w:cs="仿宋_GB2312"/>
          <w:sz w:val="32"/>
          <w:szCs w:val="32"/>
        </w:rPr>
        <w:t>；五是</w:t>
      </w:r>
      <w:r>
        <w:rPr>
          <w:rFonts w:hint="eastAsia" w:ascii="仿宋_GB2312" w:hAnsi="仿宋_GB2312" w:eastAsia="仿宋_GB2312" w:cs="仿宋_GB2312"/>
          <w:sz w:val="32"/>
          <w:szCs w:val="32"/>
          <w:lang w:eastAsia="zh-CN"/>
        </w:rPr>
        <w:t>大力推广乡村治理模式与示范创建；六是发展壮大村级集体经济；七是加强农村土地承包经营纠纷仲裁调解工作；八是农村土地承包经营权有偿退出试点后续工作；九是开展农村集体三资专项治理工作；十是村级财务管理工作；十一是农民权益维护和农民负担监督管理工作</w:t>
      </w:r>
      <w:r>
        <w:rPr>
          <w:rFonts w:hint="eastAsia" w:ascii="仿宋_GB2312" w:hAnsi="仿宋_GB2312" w:eastAsia="仿宋_GB2312" w:cs="仿宋_GB2312"/>
          <w:sz w:val="32"/>
          <w:szCs w:val="32"/>
        </w:rPr>
        <w:t>。</w:t>
      </w:r>
    </w:p>
    <w:p>
      <w:pPr>
        <w:spacing w:line="500" w:lineRule="exact"/>
        <w:ind w:firstLine="482" w:firstLineChars="15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（二）部门整体支出规模、使用方向和主要内容、涉及范围等</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年度财拨收入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884.1</w:t>
      </w:r>
      <w:bookmarkStart w:id="0" w:name="_GoBack"/>
      <w:bookmarkEnd w:id="0"/>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sz w:val="32"/>
          <w:szCs w:val="32"/>
        </w:rPr>
        <w:t>支出为</w:t>
      </w:r>
      <w:r>
        <w:rPr>
          <w:rFonts w:hint="eastAsia" w:ascii="仿宋_GB2312" w:hAnsi="仿宋_GB2312" w:eastAsia="仿宋_GB2312" w:cs="仿宋_GB2312"/>
          <w:sz w:val="32"/>
          <w:szCs w:val="32"/>
          <w:lang w:val="en-US" w:eastAsia="zh-CN"/>
        </w:rPr>
        <w:t>884.1万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结余</w:t>
      </w:r>
      <w:r>
        <w:rPr>
          <w:rFonts w:hint="eastAsia" w:ascii="仿宋_GB2312" w:hAnsi="仿宋_GB2312" w:eastAsia="仿宋_GB2312" w:cs="仿宋_GB2312"/>
          <w:sz w:val="32"/>
          <w:szCs w:val="32"/>
          <w:lang w:val="en-US" w:eastAsia="zh-CN"/>
        </w:rPr>
        <w:t>0元</w:t>
      </w:r>
      <w:r>
        <w:rPr>
          <w:rFonts w:hint="eastAsia" w:ascii="仿宋_GB2312" w:hAnsi="仿宋_GB2312" w:eastAsia="仿宋_GB2312" w:cs="仿宋_GB2312"/>
          <w:sz w:val="32"/>
          <w:szCs w:val="32"/>
        </w:rPr>
        <w:t xml:space="preserve">。             </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年度决算支出</w:t>
      </w:r>
      <w:r>
        <w:rPr>
          <w:rFonts w:hint="eastAsia" w:ascii="仿宋_GB2312" w:hAnsi="仿宋_GB2312" w:eastAsia="仿宋_GB2312" w:cs="仿宋_GB2312"/>
          <w:sz w:val="32"/>
          <w:szCs w:val="32"/>
          <w:lang w:val="en-US" w:eastAsia="zh-CN"/>
        </w:rPr>
        <w:t>884.1</w:t>
      </w:r>
      <w:r>
        <w:rPr>
          <w:rFonts w:hint="eastAsia" w:ascii="仿宋_GB2312" w:hAnsi="仿宋_GB2312" w:eastAsia="仿宋_GB2312" w:cs="仿宋_GB2312"/>
          <w:sz w:val="32"/>
          <w:szCs w:val="32"/>
        </w:rPr>
        <w:t>万元，基本支出</w:t>
      </w:r>
      <w:r>
        <w:rPr>
          <w:rFonts w:hint="eastAsia" w:ascii="仿宋_GB2312" w:hAnsi="仿宋_GB2312" w:eastAsia="仿宋_GB2312" w:cs="仿宋_GB2312"/>
          <w:sz w:val="32"/>
          <w:szCs w:val="32"/>
          <w:lang w:val="en-US" w:eastAsia="zh-CN"/>
        </w:rPr>
        <w:t>624.07</w:t>
      </w:r>
      <w:r>
        <w:rPr>
          <w:rFonts w:hint="eastAsia" w:ascii="仿宋_GB2312" w:hAnsi="仿宋_GB2312" w:eastAsia="仿宋_GB2312" w:cs="仿宋_GB2312"/>
          <w:sz w:val="32"/>
          <w:szCs w:val="32"/>
        </w:rPr>
        <w:t>万元，占总支出的</w:t>
      </w:r>
      <w:r>
        <w:rPr>
          <w:rFonts w:hint="eastAsia" w:ascii="仿宋_GB2312" w:hAnsi="仿宋_GB2312" w:eastAsia="仿宋_GB2312" w:cs="仿宋_GB2312"/>
          <w:sz w:val="32"/>
          <w:szCs w:val="32"/>
          <w:lang w:val="en-US" w:eastAsia="zh-CN"/>
        </w:rPr>
        <w:t>70.59</w:t>
      </w:r>
      <w:r>
        <w:rPr>
          <w:rFonts w:hint="eastAsia" w:ascii="仿宋_GB2312" w:hAnsi="仿宋_GB2312" w:eastAsia="仿宋_GB2312" w:cs="仿宋_GB2312"/>
          <w:sz w:val="32"/>
          <w:szCs w:val="32"/>
        </w:rPr>
        <w:t>%，其中：工资福利支出</w:t>
      </w:r>
      <w:r>
        <w:rPr>
          <w:rFonts w:hint="eastAsia" w:ascii="仿宋_GB2312" w:hAnsi="仿宋_GB2312" w:eastAsia="仿宋_GB2312" w:cs="仿宋_GB2312"/>
          <w:sz w:val="32"/>
          <w:szCs w:val="32"/>
          <w:lang w:val="en-US" w:eastAsia="zh-CN"/>
        </w:rPr>
        <w:t>171.24</w:t>
      </w:r>
      <w:r>
        <w:rPr>
          <w:rFonts w:hint="eastAsia" w:ascii="仿宋_GB2312" w:hAnsi="仿宋_GB2312" w:eastAsia="仿宋_GB2312" w:cs="仿宋_GB2312"/>
          <w:sz w:val="32"/>
          <w:szCs w:val="32"/>
        </w:rPr>
        <w:t>万元；商品和服务支出</w:t>
      </w:r>
      <w:r>
        <w:rPr>
          <w:rFonts w:hint="eastAsia" w:ascii="仿宋_GB2312" w:hAnsi="仿宋_GB2312" w:eastAsia="仿宋_GB2312" w:cs="仿宋_GB2312"/>
          <w:sz w:val="32"/>
          <w:szCs w:val="32"/>
          <w:lang w:val="en-US" w:eastAsia="zh-CN"/>
        </w:rPr>
        <w:t>144.28</w:t>
      </w:r>
      <w:r>
        <w:rPr>
          <w:rFonts w:hint="eastAsia" w:ascii="仿宋_GB2312" w:hAnsi="仿宋_GB2312" w:eastAsia="仿宋_GB2312" w:cs="仿宋_GB2312"/>
          <w:sz w:val="32"/>
          <w:szCs w:val="32"/>
        </w:rPr>
        <w:t>万元；对个人和家庭的补助</w:t>
      </w:r>
      <w:r>
        <w:rPr>
          <w:rFonts w:hint="eastAsia" w:ascii="仿宋_GB2312" w:hAnsi="仿宋_GB2312" w:eastAsia="仿宋_GB2312" w:cs="仿宋_GB2312"/>
          <w:sz w:val="32"/>
          <w:szCs w:val="32"/>
          <w:lang w:val="en-US" w:eastAsia="zh-CN"/>
        </w:rPr>
        <w:t>290.54</w:t>
      </w:r>
      <w:r>
        <w:rPr>
          <w:rFonts w:hint="eastAsia" w:ascii="仿宋_GB2312" w:hAnsi="仿宋_GB2312" w:eastAsia="仿宋_GB2312" w:cs="仿宋_GB2312"/>
          <w:sz w:val="32"/>
          <w:szCs w:val="32"/>
        </w:rPr>
        <w:t>万元，资本性支出</w:t>
      </w:r>
      <w:r>
        <w:rPr>
          <w:rFonts w:hint="eastAsia" w:ascii="仿宋_GB2312" w:hAnsi="仿宋_GB2312" w:eastAsia="仿宋_GB2312" w:cs="仿宋_GB2312"/>
          <w:sz w:val="32"/>
          <w:szCs w:val="32"/>
          <w:lang w:val="en-US" w:eastAsia="zh-CN"/>
        </w:rPr>
        <w:t>18.01</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260.03</w:t>
      </w:r>
      <w:r>
        <w:rPr>
          <w:rFonts w:hint="eastAsia" w:ascii="仿宋_GB2312" w:hAnsi="仿宋_GB2312" w:eastAsia="仿宋_GB2312" w:cs="仿宋_GB2312"/>
          <w:sz w:val="32"/>
          <w:szCs w:val="32"/>
        </w:rPr>
        <w:t>万元，占总支出的</w:t>
      </w:r>
      <w:r>
        <w:rPr>
          <w:rFonts w:hint="eastAsia" w:ascii="仿宋_GB2312" w:hAnsi="仿宋_GB2312" w:eastAsia="仿宋_GB2312" w:cs="仿宋_GB2312"/>
          <w:sz w:val="32"/>
          <w:szCs w:val="32"/>
          <w:lang w:val="en-US" w:eastAsia="zh-CN"/>
        </w:rPr>
        <w:t>29.41</w:t>
      </w:r>
      <w:r>
        <w:rPr>
          <w:rFonts w:hint="eastAsia" w:ascii="仿宋_GB2312" w:hAnsi="仿宋_GB2312" w:eastAsia="仿宋_GB2312" w:cs="仿宋_GB2312"/>
          <w:sz w:val="32"/>
          <w:szCs w:val="32"/>
        </w:rPr>
        <w:t>%，其中：商品服务支出</w:t>
      </w:r>
      <w:r>
        <w:rPr>
          <w:rFonts w:hint="eastAsia" w:ascii="仿宋_GB2312" w:hAnsi="仿宋_GB2312" w:eastAsia="仿宋_GB2312" w:cs="仿宋_GB2312"/>
          <w:sz w:val="32"/>
          <w:szCs w:val="32"/>
          <w:lang w:val="en-US" w:eastAsia="zh-CN"/>
        </w:rPr>
        <w:t>260.03</w:t>
      </w:r>
      <w:r>
        <w:rPr>
          <w:rFonts w:hint="eastAsia" w:ascii="仿宋_GB2312" w:hAnsi="仿宋_GB2312" w:eastAsia="仿宋_GB2312" w:cs="仿宋_GB2312"/>
          <w:sz w:val="32"/>
          <w:szCs w:val="32"/>
        </w:rPr>
        <w:t>万元。</w:t>
      </w:r>
    </w:p>
    <w:p>
      <w:pPr>
        <w:pStyle w:val="11"/>
        <w:numPr>
          <w:ilvl w:val="0"/>
          <w:numId w:val="1"/>
        </w:numPr>
        <w:spacing w:line="500" w:lineRule="exact"/>
        <w:ind w:firstLineChars="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部门整体支出管理及使用情况</w:t>
      </w:r>
    </w:p>
    <w:p>
      <w:pPr>
        <w:spacing w:line="500" w:lineRule="exact"/>
        <w:ind w:firstLine="482" w:firstLineChars="15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（一）基本支出</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用于为保障机构正常运转、完成日常工作任务而发生的各项支出，包括人员经费和公用经费。主要用于基本工资、津贴补贴等人员经费和办公费、差旅费、印刷费、会议费、培训费等日常公用经费以及对个人和家庭的补助支出、对企事业单位的补助和赠与。</w:t>
      </w:r>
    </w:p>
    <w:p>
      <w:pPr>
        <w:pStyle w:val="11"/>
        <w:numPr>
          <w:ilvl w:val="0"/>
          <w:numId w:val="3"/>
        </w:numPr>
        <w:spacing w:line="500" w:lineRule="exact"/>
        <w:ind w:firstLineChars="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资金管理情况</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建立健全了财务管理制度，强化财务约束，严格控制一般性支出，坚持会议费、“三公”经费等支出预算管理，推进厉行节约信息公开；二是提高预算管理水平，强化预算管理意识，增强部门预算编制的科学性；三是推进预算绩效管理，制定了我站预算绩效管理实施方案，提高财政资金使用效益。</w:t>
      </w:r>
    </w:p>
    <w:p>
      <w:pPr>
        <w:spacing w:line="5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2.“三公”经费的使用和管理情况</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加大对“三公”经费管理，推进厉行节约反对浪费，严控“三公”经费标准，确保“三公”经费各项要求落到实处。今年“三公”经费支出数比上年“三公”经费支出大大减少。</w:t>
      </w:r>
    </w:p>
    <w:p>
      <w:pPr>
        <w:spacing w:line="5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（二）专项支出</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年项目支出主要是用于全县农村土地确权颁证登记工作专项支出</w:t>
      </w:r>
      <w:r>
        <w:rPr>
          <w:rFonts w:hint="eastAsia" w:ascii="仿宋_GB2312" w:hAnsi="仿宋_GB2312" w:eastAsia="仿宋_GB2312" w:cs="仿宋_GB2312"/>
          <w:sz w:val="32"/>
          <w:szCs w:val="32"/>
          <w:lang w:val="en-US" w:eastAsia="zh-CN"/>
        </w:rPr>
        <w:t>260.03</w:t>
      </w:r>
      <w:r>
        <w:rPr>
          <w:rFonts w:hint="eastAsia" w:ascii="仿宋_GB2312" w:hAnsi="仿宋_GB2312" w:eastAsia="仿宋_GB2312" w:cs="仿宋_GB2312"/>
          <w:sz w:val="32"/>
          <w:szCs w:val="32"/>
        </w:rPr>
        <w:t>万元。</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专项资金管理情况：在资金的管理使用上，我站对照项目资金管理办法，严格执行财务管理制度。对于手续到位的资金及时的拨付，不挤占、挪用、拖欠，做到专款专用、合理公开、程序到位。</w:t>
      </w:r>
    </w:p>
    <w:p>
      <w:pPr>
        <w:spacing w:line="500" w:lineRule="exact"/>
        <w:ind w:left="562"/>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三、部门专项组织实施情况</w:t>
      </w:r>
    </w:p>
    <w:p>
      <w:pPr>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年财政专项资金检查情况，20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年专项资金支出严格按照年初计划和项目要求执行，资金支出符合相关规定，未发现截留、挪用的现象。</w:t>
      </w:r>
    </w:p>
    <w:p>
      <w:pPr>
        <w:spacing w:line="500" w:lineRule="exact"/>
        <w:ind w:left="562"/>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四、资产管理情况</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一是管理制度健全。为加强和规范资产管理，我站制定了固定资产管理制度和资金管理制度；二是资产管理安全。我站资产保存完整，使用合规；三是固定资产利用率高。我站所有固定资产总额</w:t>
      </w:r>
      <w:r>
        <w:rPr>
          <w:rFonts w:hint="eastAsia" w:ascii="仿宋_GB2312" w:hAnsi="仿宋_GB2312" w:eastAsia="仿宋_GB2312" w:cs="仿宋_GB2312"/>
          <w:sz w:val="32"/>
          <w:szCs w:val="32"/>
          <w:lang w:val="en-US" w:eastAsia="zh-CN"/>
        </w:rPr>
        <w:t>40.58</w:t>
      </w:r>
      <w:r>
        <w:rPr>
          <w:rFonts w:hint="eastAsia" w:ascii="仿宋_GB2312" w:hAnsi="仿宋_GB2312" w:eastAsia="仿宋_GB2312" w:cs="仿宋_GB2312"/>
          <w:sz w:val="32"/>
          <w:szCs w:val="32"/>
        </w:rPr>
        <w:t>万元，实际在用固定资产</w:t>
      </w:r>
      <w:r>
        <w:rPr>
          <w:rFonts w:hint="eastAsia" w:ascii="仿宋_GB2312" w:hAnsi="仿宋_GB2312" w:eastAsia="仿宋_GB2312" w:cs="仿宋_GB2312"/>
          <w:sz w:val="32"/>
          <w:szCs w:val="32"/>
          <w:lang w:val="en-US" w:eastAsia="zh-CN"/>
        </w:rPr>
        <w:t>40.58</w:t>
      </w:r>
      <w:r>
        <w:rPr>
          <w:rFonts w:hint="eastAsia" w:ascii="仿宋_GB2312" w:hAnsi="仿宋_GB2312" w:eastAsia="仿宋_GB2312" w:cs="仿宋_GB2312"/>
          <w:sz w:val="32"/>
          <w:szCs w:val="32"/>
        </w:rPr>
        <w:t>万元，固定资产利用率为100%。</w:t>
      </w:r>
    </w:p>
    <w:p>
      <w:pPr>
        <w:spacing w:line="5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五、部门整体支出绩效情况</w:t>
      </w:r>
    </w:p>
    <w:p>
      <w:pPr>
        <w:spacing w:line="500" w:lineRule="exact"/>
        <w:ind w:firstLine="640" w:firstLineChars="200"/>
        <w:rPr>
          <w:rFonts w:hint="eastAsia" w:ascii="仿宋_GB2312" w:hAnsi="仿宋_GB2312" w:eastAsia="仿宋_GB2312" w:cs="仿宋_GB2312"/>
          <w:b/>
          <w:sz w:val="32"/>
          <w:szCs w:val="32"/>
        </w:rPr>
      </w:pPr>
      <w:r>
        <w:rPr>
          <w:rFonts w:hint="eastAsia" w:ascii="仿宋_GB2312" w:hAnsi="仿宋_GB2312" w:eastAsia="仿宋_GB2312" w:cs="仿宋_GB2312"/>
          <w:color w:val="010101"/>
          <w:kern w:val="0"/>
          <w:sz w:val="32"/>
          <w:szCs w:val="32"/>
        </w:rPr>
        <w:t>202</w:t>
      </w:r>
      <w:r>
        <w:rPr>
          <w:rFonts w:hint="eastAsia" w:ascii="仿宋_GB2312" w:hAnsi="仿宋_GB2312" w:eastAsia="仿宋_GB2312" w:cs="仿宋_GB2312"/>
          <w:color w:val="010101"/>
          <w:kern w:val="0"/>
          <w:sz w:val="32"/>
          <w:szCs w:val="32"/>
          <w:lang w:val="en-US" w:eastAsia="zh-CN"/>
        </w:rPr>
        <w:t>2</w:t>
      </w:r>
      <w:r>
        <w:rPr>
          <w:rFonts w:hint="eastAsia" w:ascii="仿宋_GB2312" w:hAnsi="仿宋_GB2312" w:eastAsia="仿宋_GB2312" w:cs="仿宋_GB2312"/>
          <w:color w:val="010101"/>
          <w:kern w:val="0"/>
          <w:sz w:val="32"/>
          <w:szCs w:val="32"/>
        </w:rPr>
        <w:t>年我站按照绩效评价文件的要求，</w:t>
      </w:r>
      <w:r>
        <w:rPr>
          <w:rFonts w:hint="eastAsia" w:ascii="仿宋_GB2312" w:hAnsi="仿宋_GB2312" w:eastAsia="仿宋_GB2312" w:cs="仿宋_GB2312"/>
          <w:sz w:val="32"/>
          <w:szCs w:val="32"/>
        </w:rPr>
        <w:t>建立健全财务基础管理制度和约束机制，依法有效地分配、使用财政资金，提高资金使用效率，保证工作有效有序地运行，对部门整体支出进行了有效控制和节约，合理安排部门整体经费支出，严格执行中央厉行节约禁止铺张浪费的要求，无“三公经费”超标情况，</w:t>
      </w:r>
      <w:r>
        <w:rPr>
          <w:rFonts w:hint="eastAsia" w:ascii="仿宋_GB2312" w:hAnsi="仿宋_GB2312" w:eastAsia="仿宋_GB2312" w:cs="仿宋_GB2312"/>
          <w:color w:val="010101"/>
          <w:kern w:val="0"/>
          <w:sz w:val="32"/>
          <w:szCs w:val="32"/>
        </w:rPr>
        <w:t>较好地完成了年初确定的各项工作任务，根据《部门整体支出绩效评价指标》评分，得分</w:t>
      </w:r>
      <w:r>
        <w:rPr>
          <w:rFonts w:hint="eastAsia" w:ascii="仿宋_GB2312" w:hAnsi="仿宋_GB2312" w:eastAsia="仿宋_GB2312" w:cs="仿宋_GB2312"/>
          <w:color w:val="010101"/>
          <w:kern w:val="0"/>
          <w:sz w:val="32"/>
          <w:szCs w:val="32"/>
          <w:lang w:val="en-US" w:eastAsia="zh-CN"/>
        </w:rPr>
        <w:t xml:space="preserve">93 </w:t>
      </w:r>
      <w:r>
        <w:rPr>
          <w:rFonts w:hint="eastAsia" w:ascii="仿宋_GB2312" w:hAnsi="仿宋_GB2312" w:eastAsia="仿宋_GB2312" w:cs="仿宋_GB2312"/>
          <w:color w:val="010101"/>
          <w:kern w:val="0"/>
          <w:sz w:val="32"/>
          <w:szCs w:val="32"/>
        </w:rPr>
        <w:t>分，主要绩效如下：</w:t>
      </w:r>
    </w:p>
    <w:p>
      <w:pPr>
        <w:spacing w:line="500" w:lineRule="exact"/>
        <w:ind w:firstLine="643" w:firstLineChars="200"/>
        <w:rPr>
          <w:rFonts w:hint="eastAsia" w:ascii="仿宋_GB2312" w:hAnsi="仿宋_GB2312" w:eastAsia="仿宋_GB2312" w:cs="仿宋_GB2312"/>
          <w:b/>
          <w:color w:val="010101"/>
          <w:kern w:val="0"/>
          <w:sz w:val="32"/>
          <w:szCs w:val="32"/>
        </w:rPr>
      </w:pPr>
      <w:r>
        <w:rPr>
          <w:rFonts w:hint="eastAsia" w:ascii="仿宋_GB2312" w:hAnsi="仿宋_GB2312" w:eastAsia="仿宋_GB2312" w:cs="仿宋_GB2312"/>
          <w:b/>
          <w:color w:val="010101"/>
          <w:kern w:val="0"/>
          <w:sz w:val="32"/>
          <w:szCs w:val="32"/>
        </w:rPr>
        <w:t>(一)经济分析</w:t>
      </w:r>
    </w:p>
    <w:p>
      <w:pPr>
        <w:spacing w:line="500" w:lineRule="exact"/>
        <w:ind w:firstLine="640" w:firstLineChars="200"/>
        <w:rPr>
          <w:rFonts w:hint="eastAsia" w:ascii="仿宋_GB2312" w:hAnsi="仿宋_GB2312" w:eastAsia="仿宋_GB2312" w:cs="仿宋_GB2312"/>
          <w:color w:val="010101"/>
          <w:kern w:val="0"/>
          <w:sz w:val="32"/>
          <w:szCs w:val="32"/>
        </w:rPr>
      </w:pPr>
      <w:r>
        <w:rPr>
          <w:rFonts w:hint="eastAsia" w:ascii="仿宋_GB2312" w:hAnsi="仿宋_GB2312" w:eastAsia="仿宋_GB2312" w:cs="仿宋_GB2312"/>
          <w:color w:val="010101"/>
          <w:kern w:val="0"/>
          <w:sz w:val="32"/>
          <w:szCs w:val="32"/>
        </w:rPr>
        <w:t>1、本年预算配置控制较好。财政供养人员控制在预算编制以内，编制内在职人员控制率为</w:t>
      </w:r>
      <w:r>
        <w:rPr>
          <w:rFonts w:hint="eastAsia" w:ascii="仿宋_GB2312" w:hAnsi="仿宋_GB2312" w:eastAsia="仿宋_GB2312" w:cs="仿宋_GB2312"/>
          <w:color w:val="010101"/>
          <w:kern w:val="0"/>
          <w:sz w:val="32"/>
          <w:szCs w:val="32"/>
          <w:lang w:val="en-US" w:eastAsia="zh-CN"/>
        </w:rPr>
        <w:t>72</w:t>
      </w:r>
      <w:r>
        <w:rPr>
          <w:rFonts w:hint="eastAsia" w:ascii="仿宋_GB2312" w:hAnsi="仿宋_GB2312" w:eastAsia="仿宋_GB2312" w:cs="仿宋_GB2312"/>
          <w:color w:val="010101"/>
          <w:kern w:val="0"/>
          <w:sz w:val="32"/>
          <w:szCs w:val="32"/>
        </w:rPr>
        <w:t>%，小于100%；“三公”经费支出总额小，远低于年初预算。</w:t>
      </w:r>
    </w:p>
    <w:p>
      <w:pPr>
        <w:spacing w:line="500" w:lineRule="exact"/>
        <w:ind w:firstLine="640" w:firstLineChars="200"/>
        <w:rPr>
          <w:rFonts w:hint="eastAsia" w:ascii="仿宋_GB2312" w:hAnsi="仿宋_GB2312" w:eastAsia="仿宋_GB2312" w:cs="仿宋_GB2312"/>
          <w:color w:val="010101"/>
          <w:kern w:val="0"/>
          <w:sz w:val="32"/>
          <w:szCs w:val="32"/>
        </w:rPr>
      </w:pPr>
      <w:r>
        <w:rPr>
          <w:rFonts w:hint="eastAsia" w:ascii="仿宋_GB2312" w:hAnsi="仿宋_GB2312" w:eastAsia="仿宋_GB2312" w:cs="仿宋_GB2312"/>
          <w:color w:val="010101"/>
          <w:kern w:val="0"/>
          <w:sz w:val="32"/>
          <w:szCs w:val="32"/>
        </w:rPr>
        <w:t>2. 预算执行方面。基本支出总额控制在预算总额以内，项目支出总额增加预算数支出</w:t>
      </w:r>
      <w:r>
        <w:rPr>
          <w:rFonts w:hint="eastAsia" w:ascii="仿宋_GB2312" w:hAnsi="仿宋_GB2312" w:eastAsia="仿宋_GB2312" w:cs="仿宋_GB2312"/>
          <w:color w:val="010101"/>
          <w:kern w:val="0"/>
          <w:sz w:val="32"/>
          <w:szCs w:val="32"/>
          <w:lang w:val="en-US" w:eastAsia="zh-CN"/>
        </w:rPr>
        <w:t>260.03</w:t>
      </w:r>
      <w:r>
        <w:rPr>
          <w:rFonts w:hint="eastAsia" w:ascii="仿宋_GB2312" w:hAnsi="仿宋_GB2312" w:eastAsia="仿宋_GB2312" w:cs="仿宋_GB2312"/>
          <w:color w:val="010101"/>
          <w:kern w:val="0"/>
          <w:sz w:val="32"/>
          <w:szCs w:val="32"/>
        </w:rPr>
        <w:t>万元，主要增加是拨农村土地经营确权颁证工作经费</w:t>
      </w:r>
      <w:r>
        <w:rPr>
          <w:rFonts w:hint="eastAsia" w:ascii="仿宋_GB2312" w:hAnsi="仿宋_GB2312" w:eastAsia="仿宋_GB2312" w:cs="仿宋_GB2312"/>
          <w:color w:val="010101"/>
          <w:kern w:val="0"/>
          <w:sz w:val="32"/>
          <w:szCs w:val="32"/>
          <w:lang w:val="en-US" w:eastAsia="zh-CN"/>
        </w:rPr>
        <w:t>260.03</w:t>
      </w:r>
      <w:r>
        <w:rPr>
          <w:rFonts w:hint="eastAsia" w:ascii="仿宋_GB2312" w:hAnsi="仿宋_GB2312" w:eastAsia="仿宋_GB2312" w:cs="仿宋_GB2312"/>
          <w:color w:val="010101"/>
          <w:kern w:val="0"/>
          <w:sz w:val="32"/>
          <w:szCs w:val="32"/>
        </w:rPr>
        <w:t>万元。预算资金按照规定管理使用，财政拨款支出总体控制较好。</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10101"/>
          <w:kern w:val="0"/>
          <w:sz w:val="32"/>
          <w:szCs w:val="32"/>
        </w:rPr>
        <w:t>3、预算管理方面。我站制定了切实有效的内部管理制度和经费支出控制方案，有较强的内控风险管理意识、各项经费支出得到了有效控制。</w:t>
      </w:r>
    </w:p>
    <w:p>
      <w:pPr>
        <w:spacing w:line="500" w:lineRule="exact"/>
        <w:ind w:firstLine="643" w:firstLineChars="200"/>
        <w:rPr>
          <w:rFonts w:hint="eastAsia" w:ascii="仿宋_GB2312" w:hAnsi="仿宋_GB2312" w:eastAsia="仿宋_GB2312" w:cs="仿宋_GB2312"/>
          <w:b/>
          <w:color w:val="010101"/>
          <w:kern w:val="0"/>
          <w:sz w:val="32"/>
          <w:szCs w:val="32"/>
        </w:rPr>
      </w:pPr>
      <w:r>
        <w:rPr>
          <w:rFonts w:hint="eastAsia" w:ascii="仿宋_GB2312" w:hAnsi="仿宋_GB2312" w:eastAsia="仿宋_GB2312" w:cs="仿宋_GB2312"/>
          <w:b/>
          <w:color w:val="010101"/>
          <w:kern w:val="0"/>
          <w:sz w:val="32"/>
          <w:szCs w:val="32"/>
        </w:rPr>
        <w:t>（二）效率性和有效性分析</w:t>
      </w:r>
    </w:p>
    <w:p>
      <w:pPr>
        <w:ind w:firstLine="803" w:firstLineChars="250"/>
        <w:jc w:val="left"/>
        <w:textAlignment w:val="baseline"/>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eastAsia="zh-CN"/>
        </w:rPr>
        <w:t>“村社分账”管理改革试点</w:t>
      </w:r>
    </w:p>
    <w:p>
      <w:pPr>
        <w:ind w:firstLine="800" w:firstLineChars="25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今年，我县被列为全省28个“村民委员会与村（股份）经济合作社分账”管理改革试点县之一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截止目前，全县25个乡镇381个村已全部完成了清产核资、分账、建账和资料归档，村（股份）经济合作社银行基本账户激活、银村直联开通，账户正常运行和资料整理归档工作。</w:t>
      </w:r>
    </w:p>
    <w:p>
      <w:pPr>
        <w:ind w:firstLine="800" w:firstLineChars="250"/>
        <w:jc w:val="left"/>
        <w:textAlignment w:val="baseline"/>
        <w:rPr>
          <w:rFonts w:hint="eastAsia" w:ascii="仿宋_GB2312" w:hAnsi="仿宋_GB2312" w:eastAsia="仿宋_GB2312" w:cs="仿宋_GB2312"/>
          <w:bCs/>
          <w:color w:val="000000"/>
          <w:kern w:val="2"/>
          <w:sz w:val="32"/>
          <w:szCs w:val="32"/>
        </w:rPr>
      </w:pPr>
      <w:r>
        <w:rPr>
          <w:rFonts w:hint="eastAsia" w:ascii="仿宋_GB2312" w:hAnsi="仿宋_GB2312" w:eastAsia="仿宋_GB2312" w:cs="仿宋_GB2312"/>
          <w:bCs/>
          <w:color w:val="000000"/>
          <w:kern w:val="2"/>
          <w:sz w:val="32"/>
          <w:szCs w:val="32"/>
          <w:lang w:val="en-US" w:eastAsia="zh-CN"/>
        </w:rPr>
        <w:t>2、</w:t>
      </w:r>
      <w:r>
        <w:rPr>
          <w:rFonts w:hint="eastAsia" w:ascii="仿宋_GB2312" w:hAnsi="仿宋_GB2312" w:eastAsia="仿宋_GB2312" w:cs="仿宋_GB2312"/>
          <w:bCs/>
          <w:color w:val="000000"/>
          <w:kern w:val="2"/>
          <w:sz w:val="32"/>
          <w:szCs w:val="32"/>
        </w:rPr>
        <w:t>农村土地经营权确权登记“回头看”问题整改。</w:t>
      </w:r>
      <w:r>
        <w:rPr>
          <w:rFonts w:hint="eastAsia" w:ascii="仿宋_GB2312" w:hAnsi="仿宋_GB2312" w:eastAsia="仿宋_GB2312" w:cs="仿宋_GB2312"/>
          <w:sz w:val="32"/>
          <w:szCs w:val="32"/>
        </w:rPr>
        <w:t>为纠正在农村土地承包经营权确权登记中信息不准确、证书发放不规范等问题，稳定农村土地承包经营权的权属关系，维护广大农户的合法权益。从8月份起，我站组织在全县范围内开展为期4个月的“回头看”问题整改工作，各乡镇村（居）通过认真核实数据信息，全面排查解决证书未发放到户、暂缓确权、信息不准、漏人漏地（户）、地块位置不准、面积及四至界限不准、应确未确等问题，11月起，全面落实系统数据和地块修改等工作，坚持发现一处，纠正一处，做到万无一失，确保在12月底如期按质完成整改工作任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bCs/>
          <w:color w:val="000000"/>
          <w:sz w:val="32"/>
          <w:szCs w:val="32"/>
        </w:rPr>
        <w:t>扶持培育农民专业合作社和家庭农场。</w:t>
      </w:r>
      <w:r>
        <w:rPr>
          <w:rFonts w:hint="eastAsia" w:ascii="仿宋_GB2312" w:hAnsi="仿宋_GB2312" w:eastAsia="仿宋_GB2312" w:cs="仿宋_GB2312"/>
          <w:b/>
          <w:sz w:val="32"/>
          <w:szCs w:val="32"/>
        </w:rPr>
        <w:t>一是</w:t>
      </w:r>
      <w:r>
        <w:rPr>
          <w:rFonts w:hint="eastAsia" w:ascii="仿宋_GB2312" w:hAnsi="仿宋_GB2312" w:eastAsia="仿宋_GB2312" w:cs="仿宋_GB2312"/>
          <w:sz w:val="32"/>
          <w:szCs w:val="32"/>
        </w:rPr>
        <w:t>规范家庭农场发展。截至今年1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月底，新培育5家省级示范家庭农场，1家重点支持省级示范家庭农场，16家市级示范家庭农场及30家县级示范农场，完善改版后的全国家庭农场名录系统的1253家家庭农场及专业大户的数据补填报。</w:t>
      </w:r>
      <w:r>
        <w:rPr>
          <w:rFonts w:hint="eastAsia" w:ascii="仿宋_GB2312" w:hAnsi="仿宋_GB2312" w:eastAsia="仿宋_GB2312" w:cs="仿宋_GB2312"/>
          <w:b/>
          <w:sz w:val="32"/>
          <w:szCs w:val="32"/>
        </w:rPr>
        <w:t>二是</w:t>
      </w:r>
      <w:r>
        <w:rPr>
          <w:rFonts w:hint="eastAsia" w:ascii="仿宋_GB2312" w:hAnsi="仿宋_GB2312" w:eastAsia="仿宋_GB2312" w:cs="仿宋_GB2312"/>
          <w:sz w:val="32"/>
          <w:szCs w:val="32"/>
        </w:rPr>
        <w:t>推动农民合作社高质量发展。按照积极发展、逐步规范、强化扶持、提升素质的要求，进一步加大了对合作社的发展指导、扶持和服务力度，截至2022年1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月底，全县共发展各类农民合作社879家，入社合作社成员达</w:t>
      </w:r>
      <w:r>
        <w:rPr>
          <w:rFonts w:hint="eastAsia" w:ascii="仿宋_GB2312" w:hAnsi="仿宋_GB2312" w:eastAsia="仿宋_GB2312" w:cs="仿宋_GB2312"/>
          <w:sz w:val="32"/>
          <w:szCs w:val="32"/>
          <w:lang w:val="en-US" w:eastAsia="zh-CN"/>
        </w:rPr>
        <w:t>5.1</w:t>
      </w:r>
      <w:r>
        <w:rPr>
          <w:rFonts w:hint="eastAsia" w:ascii="仿宋_GB2312" w:hAnsi="仿宋_GB2312" w:eastAsia="仿宋_GB2312" w:cs="仿宋_GB2312"/>
          <w:sz w:val="32"/>
          <w:szCs w:val="32"/>
        </w:rPr>
        <w:t>万户，带动周边农户1.53万户，新培育省级示范合作社3家，重点支持省级示范合作社1家，市级示范合作社12家及25家县级示范合作社。</w:t>
      </w:r>
      <w:r>
        <w:rPr>
          <w:rFonts w:hint="eastAsia" w:ascii="仿宋_GB2312" w:hAnsi="仿宋_GB2312" w:eastAsia="仿宋_GB2312" w:cs="仿宋_GB2312"/>
          <w:b/>
          <w:bCs/>
          <w:color w:val="auto"/>
          <w:sz w:val="32"/>
          <w:szCs w:val="32"/>
          <w:lang w:eastAsia="zh-CN"/>
        </w:rPr>
        <w:t>三是</w:t>
      </w:r>
      <w:r>
        <w:rPr>
          <w:rFonts w:hint="eastAsia" w:ascii="仿宋_GB2312" w:hAnsi="仿宋_GB2312" w:eastAsia="仿宋_GB2312" w:cs="仿宋_GB2312"/>
          <w:color w:val="auto"/>
          <w:sz w:val="32"/>
          <w:szCs w:val="32"/>
          <w:lang w:eastAsia="zh-CN"/>
        </w:rPr>
        <w:t>加大了对新型农民经营主体的扶持力度。截止</w:t>
      </w:r>
      <w:r>
        <w:rPr>
          <w:rFonts w:hint="eastAsia" w:ascii="仿宋_GB2312" w:hAnsi="仿宋_GB2312" w:eastAsia="仿宋_GB2312" w:cs="仿宋_GB2312"/>
          <w:color w:val="auto"/>
          <w:sz w:val="32"/>
          <w:szCs w:val="32"/>
          <w:lang w:val="en-US" w:eastAsia="zh-CN"/>
        </w:rPr>
        <w:t>2022年12月底，在农业农村局出台溆农联[2022]14号文件的支撑下，我站制定了《溆浦县2022年奖补粮食类示范家庭农场及示范农民专业合作社的实施方案》对全县已获得市级以上的17家粮食类示范合作社及家庭农场进行了奖补，奖补金额达40万元，充分调动了全县合作社和家庭农场争创示范的积极性，也向乡村振兴考核交了一份完美的答卷。</w:t>
      </w: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b/>
          <w:color w:val="auto"/>
          <w:sz w:val="32"/>
          <w:szCs w:val="32"/>
        </w:rPr>
        <w:t>是</w:t>
      </w:r>
      <w:r>
        <w:rPr>
          <w:rFonts w:hint="eastAsia" w:ascii="仿宋_GB2312" w:hAnsi="仿宋_GB2312" w:eastAsia="仿宋_GB2312" w:cs="仿宋_GB2312"/>
          <w:sz w:val="32"/>
          <w:szCs w:val="32"/>
        </w:rPr>
        <w:t>提升新型农业经营主体业务素质。组织农场主、合作社理事长参加省、市级业务培训，并邀请种植、养殖及农场、合作社规范化建设专家对全县县级以上示范家庭农场及农民专业合作社理事长进行培训，截止1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月底全县共培训经营主体80人次，有效的提升了新型经营主体的业务素质。</w:t>
      </w:r>
    </w:p>
    <w:p>
      <w:pPr>
        <w:pStyle w:val="2"/>
        <w:spacing w:line="600" w:lineRule="exact"/>
        <w:ind w:firstLine="640"/>
        <w:rPr>
          <w:rFonts w:hint="eastAsia" w:ascii="仿宋_GB2312" w:hAnsi="仿宋_GB2312" w:eastAsia="仿宋_GB2312" w:cs="仿宋_GB2312"/>
          <w:bCs/>
          <w:color w:val="000000"/>
          <w:sz w:val="32"/>
          <w:szCs w:val="32"/>
          <w:highlight w:val="none"/>
        </w:rPr>
      </w:pPr>
      <w:r>
        <w:rPr>
          <w:rFonts w:hint="eastAsia" w:ascii="仿宋_GB2312" w:hAnsi="仿宋_GB2312" w:eastAsia="仿宋_GB2312" w:cs="仿宋_GB2312"/>
          <w:bCs/>
          <w:color w:val="000000"/>
          <w:sz w:val="32"/>
          <w:szCs w:val="32"/>
          <w:lang w:val="en-US" w:eastAsia="zh-CN"/>
        </w:rPr>
        <w:t>4、</w:t>
      </w:r>
      <w:r>
        <w:rPr>
          <w:rFonts w:hint="eastAsia" w:ascii="仿宋_GB2312" w:hAnsi="仿宋_GB2312" w:eastAsia="仿宋_GB2312" w:cs="仿宋_GB2312"/>
          <w:bCs/>
          <w:color w:val="000000"/>
          <w:sz w:val="32"/>
          <w:szCs w:val="32"/>
        </w:rPr>
        <w:t>规范农村宅基地管理与改革。</w:t>
      </w:r>
      <w:r>
        <w:rPr>
          <w:rFonts w:hint="eastAsia" w:ascii="仿宋_GB2312" w:hAnsi="仿宋_GB2312" w:eastAsia="仿宋_GB2312" w:cs="仿宋_GB2312"/>
          <w:b/>
          <w:kern w:val="0"/>
          <w:sz w:val="32"/>
          <w:szCs w:val="32"/>
        </w:rPr>
        <w:t>一是</w:t>
      </w:r>
      <w:r>
        <w:rPr>
          <w:rFonts w:hint="eastAsia" w:ascii="仿宋_GB2312" w:hAnsi="仿宋_GB2312" w:eastAsia="仿宋_GB2312" w:cs="仿宋_GB2312"/>
          <w:kern w:val="0"/>
          <w:sz w:val="32"/>
          <w:szCs w:val="32"/>
        </w:rPr>
        <w:t>健全村民建房联审联办机制。全县25个乡镇农村宅基地联审联办办公室严格落实“农户申请、村民小组会讨论通过并公示、村级组织开展材料审核、乡镇部门审查、召开乡镇规委会、核发乡村规划许可证、乡镇政府审批、发放宅基地批准书”流程，全面规范农村村民建房审批。</w:t>
      </w:r>
      <w:r>
        <w:rPr>
          <w:rFonts w:hint="eastAsia" w:ascii="仿宋_GB2312" w:hAnsi="仿宋_GB2312" w:eastAsia="仿宋_GB2312" w:cs="仿宋_GB2312"/>
          <w:kern w:val="0"/>
          <w:sz w:val="32"/>
          <w:szCs w:val="32"/>
          <w:highlight w:val="none"/>
        </w:rPr>
        <w:t>2022年，全县共受理农民建房</w:t>
      </w:r>
      <w:r>
        <w:rPr>
          <w:rFonts w:hint="eastAsia" w:ascii="仿宋_GB2312" w:hAnsi="仿宋_GB2312" w:eastAsia="仿宋_GB2312" w:cs="仿宋_GB2312"/>
          <w:kern w:val="0"/>
          <w:sz w:val="32"/>
          <w:szCs w:val="32"/>
          <w:highlight w:val="none"/>
          <w:lang w:val="en-US" w:eastAsia="zh-CN"/>
        </w:rPr>
        <w:t>3594</w:t>
      </w:r>
      <w:r>
        <w:rPr>
          <w:rFonts w:hint="eastAsia" w:ascii="仿宋_GB2312" w:hAnsi="仿宋_GB2312" w:eastAsia="仿宋_GB2312" w:cs="仿宋_GB2312"/>
          <w:kern w:val="0"/>
          <w:sz w:val="32"/>
          <w:szCs w:val="32"/>
          <w:highlight w:val="none"/>
        </w:rPr>
        <w:t>宗，审批通过农民建房</w:t>
      </w:r>
      <w:r>
        <w:rPr>
          <w:rFonts w:hint="eastAsia" w:ascii="仿宋_GB2312" w:hAnsi="仿宋_GB2312" w:eastAsia="仿宋_GB2312" w:cs="仿宋_GB2312"/>
          <w:kern w:val="0"/>
          <w:sz w:val="32"/>
          <w:szCs w:val="32"/>
          <w:highlight w:val="none"/>
          <w:lang w:val="en-US" w:eastAsia="zh-CN"/>
        </w:rPr>
        <w:t>3649</w:t>
      </w:r>
      <w:r>
        <w:rPr>
          <w:rFonts w:hint="eastAsia" w:ascii="仿宋_GB2312" w:hAnsi="仿宋_GB2312" w:eastAsia="仿宋_GB2312" w:cs="仿宋_GB2312"/>
          <w:kern w:val="0"/>
          <w:sz w:val="32"/>
          <w:szCs w:val="32"/>
          <w:highlight w:val="none"/>
        </w:rPr>
        <w:t>宗，总面积</w:t>
      </w:r>
      <w:r>
        <w:rPr>
          <w:rFonts w:hint="eastAsia" w:ascii="仿宋_GB2312" w:hAnsi="仿宋_GB2312" w:eastAsia="仿宋_GB2312" w:cs="仿宋_GB2312"/>
          <w:kern w:val="0"/>
          <w:sz w:val="32"/>
          <w:szCs w:val="32"/>
          <w:highlight w:val="none"/>
          <w:lang w:val="en-US" w:eastAsia="zh-CN"/>
        </w:rPr>
        <w:t>564651.39</w:t>
      </w:r>
      <w:r>
        <w:rPr>
          <w:rFonts w:hint="eastAsia" w:ascii="仿宋_GB2312" w:hAnsi="仿宋_GB2312" w:eastAsia="仿宋_GB2312" w:cs="仿宋_GB2312"/>
          <w:kern w:val="0"/>
          <w:sz w:val="32"/>
          <w:szCs w:val="32"/>
          <w:highlight w:val="none"/>
        </w:rPr>
        <w:t>平方。</w:t>
      </w:r>
      <w:r>
        <w:rPr>
          <w:rFonts w:hint="eastAsia" w:ascii="仿宋_GB2312" w:hAnsi="仿宋_GB2312" w:eastAsia="仿宋_GB2312" w:cs="仿宋_GB2312"/>
          <w:b/>
          <w:kern w:val="0"/>
          <w:sz w:val="32"/>
          <w:szCs w:val="32"/>
        </w:rPr>
        <w:t>二是</w:t>
      </w:r>
      <w:r>
        <w:rPr>
          <w:rFonts w:hint="eastAsia" w:ascii="仿宋_GB2312" w:hAnsi="仿宋_GB2312" w:eastAsia="仿宋_GB2312" w:cs="仿宋_GB2312"/>
          <w:kern w:val="0"/>
          <w:sz w:val="32"/>
          <w:szCs w:val="32"/>
        </w:rPr>
        <w:t>完善县、乡、村三级巡查制度。县、乡、村三级定期开展农村建房工作动态巡查，县、乡镇每月至少巡查1次，村每周至少巡查1次，巡查人员认真做好巡查登记，如实记录巡查时间、人员、区域、违法建房等具体情况，建立巡查台账。对违法建房行为做到早发现、早报告、早制止。</w:t>
      </w:r>
      <w:r>
        <w:rPr>
          <w:rFonts w:hint="eastAsia" w:ascii="仿宋_GB2312" w:hAnsi="仿宋_GB2312" w:eastAsia="仿宋_GB2312" w:cs="仿宋_GB2312"/>
          <w:b/>
          <w:kern w:val="0"/>
          <w:sz w:val="32"/>
          <w:szCs w:val="32"/>
        </w:rPr>
        <w:t>三是</w:t>
      </w:r>
      <w:r>
        <w:rPr>
          <w:rFonts w:hint="eastAsia" w:ascii="仿宋_GB2312" w:hAnsi="仿宋_GB2312" w:eastAsia="仿宋_GB2312" w:cs="仿宋_GB2312"/>
          <w:kern w:val="0"/>
          <w:sz w:val="32"/>
          <w:szCs w:val="32"/>
        </w:rPr>
        <w:t>开展专项督查整改。</w:t>
      </w:r>
      <w:r>
        <w:rPr>
          <w:rFonts w:hint="eastAsia" w:ascii="仿宋_GB2312" w:hAnsi="仿宋_GB2312" w:eastAsia="仿宋_GB2312" w:cs="仿宋_GB2312"/>
          <w:sz w:val="32"/>
          <w:szCs w:val="32"/>
        </w:rPr>
        <w:t>县农村宅基地管理与改革工作领导小组办公室不定期组织人员对全县25个乡镇的农村宅基地联审联办情况进行专项督查，今年来共开展了2次专项督查，并对督查中存在的问题进行了现场督办。</w:t>
      </w:r>
      <w:r>
        <w:rPr>
          <w:rFonts w:hint="eastAsia" w:ascii="仿宋_GB2312" w:hAnsi="仿宋_GB2312" w:eastAsia="仿宋_GB2312" w:cs="仿宋_GB2312"/>
          <w:sz w:val="32"/>
          <w:szCs w:val="32"/>
          <w:highlight w:val="none"/>
          <w:lang w:val="en-US" w:eastAsia="zh-CN"/>
        </w:rPr>
        <w:t>四是开认真做好</w:t>
      </w:r>
      <w:r>
        <w:rPr>
          <w:rFonts w:hint="eastAsia" w:ascii="仿宋_GB2312" w:hAnsi="仿宋_GB2312" w:eastAsia="仿宋_GB2312" w:cs="仿宋_GB2312"/>
          <w:sz w:val="32"/>
          <w:szCs w:val="32"/>
          <w:highlight w:val="none"/>
        </w:rPr>
        <w:t>省市下发卫片执法监测问题图斑</w:t>
      </w:r>
      <w:r>
        <w:rPr>
          <w:rFonts w:hint="eastAsia" w:ascii="仿宋_GB2312" w:hAnsi="仿宋_GB2312" w:eastAsia="仿宋_GB2312" w:cs="仿宋_GB2312"/>
          <w:sz w:val="32"/>
          <w:szCs w:val="32"/>
          <w:highlight w:val="none"/>
          <w:lang w:val="en-US" w:eastAsia="zh-CN"/>
        </w:rPr>
        <w:t>的核查工作，2022年全年共核查18条图斑，</w:t>
      </w:r>
      <w:r>
        <w:rPr>
          <w:rFonts w:hint="eastAsia" w:ascii="仿宋_GB2312" w:hAnsi="仿宋_GB2312" w:eastAsia="仿宋_GB2312" w:cs="仿宋_GB2312"/>
          <w:sz w:val="32"/>
          <w:szCs w:val="32"/>
          <w:highlight w:val="none"/>
        </w:rPr>
        <w:t>对核查</w:t>
      </w:r>
      <w:r>
        <w:rPr>
          <w:rFonts w:hint="eastAsia" w:ascii="仿宋_GB2312" w:hAnsi="仿宋_GB2312" w:eastAsia="仿宋_GB2312" w:cs="仿宋_GB2312"/>
          <w:sz w:val="32"/>
          <w:szCs w:val="32"/>
          <w:highlight w:val="none"/>
          <w:lang w:val="en-US" w:eastAsia="zh-CN"/>
        </w:rPr>
        <w:t>存在的问题</w:t>
      </w:r>
      <w:r>
        <w:rPr>
          <w:rFonts w:hint="eastAsia" w:ascii="仿宋_GB2312" w:hAnsi="仿宋_GB2312" w:eastAsia="仿宋_GB2312" w:cs="仿宋_GB2312"/>
          <w:sz w:val="32"/>
          <w:szCs w:val="32"/>
          <w:highlight w:val="none"/>
        </w:rPr>
        <w:t>已全部整改销号到位。</w:t>
      </w:r>
    </w:p>
    <w:p>
      <w:pPr>
        <w:adjustRightInd w:val="0"/>
        <w:snapToGrid w:val="0"/>
        <w:spacing w:line="600" w:lineRule="exact"/>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lang w:val="en-US" w:eastAsia="zh-CN"/>
        </w:rPr>
        <w:t>5、</w:t>
      </w:r>
      <w:r>
        <w:rPr>
          <w:rFonts w:hint="eastAsia" w:ascii="仿宋_GB2312" w:hAnsi="仿宋_GB2312" w:eastAsia="仿宋_GB2312" w:cs="仿宋_GB2312"/>
          <w:bCs/>
          <w:color w:val="000000"/>
          <w:sz w:val="32"/>
          <w:szCs w:val="32"/>
        </w:rPr>
        <w:t>大力推广乡村治理模式与示范创建。</w:t>
      </w:r>
      <w:r>
        <w:rPr>
          <w:rFonts w:hint="eastAsia" w:ascii="仿宋_GB2312" w:hAnsi="仿宋_GB2312" w:eastAsia="仿宋_GB2312" w:cs="仿宋_GB2312"/>
          <w:b/>
          <w:bCs/>
          <w:sz w:val="32"/>
          <w:szCs w:val="32"/>
        </w:rPr>
        <w:t>一是</w:t>
      </w:r>
      <w:r>
        <w:rPr>
          <w:rFonts w:hint="eastAsia" w:ascii="仿宋_GB2312" w:hAnsi="仿宋_GB2312" w:eastAsia="仿宋_GB2312" w:cs="仿宋_GB2312"/>
          <w:bCs/>
          <w:sz w:val="32"/>
          <w:szCs w:val="32"/>
        </w:rPr>
        <w:t>开展乡村治理示范村镇创建工作。</w:t>
      </w:r>
      <w:r>
        <w:rPr>
          <w:rFonts w:hint="eastAsia" w:ascii="仿宋_GB2312" w:hAnsi="仿宋_GB2312" w:eastAsia="仿宋_GB2312" w:cs="仿宋_GB2312"/>
          <w:sz w:val="32"/>
          <w:szCs w:val="32"/>
        </w:rPr>
        <w:t>将北斗溪镇推荐申报全省乡村治理示范镇，小横垅乡罗子山村推荐申报了全省乡村治理示范村。</w:t>
      </w:r>
      <w:r>
        <w:rPr>
          <w:rFonts w:hint="eastAsia" w:ascii="仿宋_GB2312" w:hAnsi="仿宋_GB2312" w:eastAsia="仿宋_GB2312" w:cs="仿宋_GB2312"/>
          <w:b/>
          <w:bCs/>
          <w:sz w:val="32"/>
          <w:szCs w:val="32"/>
        </w:rPr>
        <w:t>二是</w:t>
      </w:r>
      <w:r>
        <w:rPr>
          <w:rFonts w:hint="eastAsia" w:ascii="仿宋_GB2312" w:hAnsi="仿宋_GB2312" w:eastAsia="仿宋_GB2312" w:cs="仿宋_GB2312"/>
          <w:bCs/>
          <w:sz w:val="32"/>
          <w:szCs w:val="32"/>
        </w:rPr>
        <w:t>探索总结推广适宜的乡村治理模式，由</w:t>
      </w:r>
      <w:r>
        <w:rPr>
          <w:rFonts w:hint="eastAsia" w:ascii="仿宋_GB2312" w:hAnsi="仿宋_GB2312" w:eastAsia="仿宋_GB2312" w:cs="仿宋_GB2312"/>
          <w:sz w:val="32"/>
          <w:szCs w:val="32"/>
        </w:rPr>
        <w:t>县委组织部牵头，在全县构建“党建引领、一网九微”的乡村治理新模式，并由县委党建工作领导小组出台了《溆浦县党建引领“一网九微”乡村治理试点工作方案》，在全县25个乡镇全面铺开。</w:t>
      </w:r>
      <w:r>
        <w:rPr>
          <w:rFonts w:hint="eastAsia" w:ascii="仿宋_GB2312" w:hAnsi="仿宋_GB2312" w:eastAsia="仿宋_GB2312" w:cs="仿宋_GB2312"/>
          <w:b/>
          <w:bCs/>
          <w:sz w:val="32"/>
          <w:szCs w:val="32"/>
        </w:rPr>
        <w:t>三是</w:t>
      </w:r>
      <w:r>
        <w:rPr>
          <w:rFonts w:hint="eastAsia" w:ascii="仿宋_GB2312" w:hAnsi="仿宋_GB2312" w:eastAsia="仿宋_GB2312" w:cs="仿宋_GB2312"/>
          <w:bCs/>
          <w:sz w:val="32"/>
          <w:szCs w:val="32"/>
        </w:rPr>
        <w:t>大力开展了乡村治理模式经验典型宣传。</w:t>
      </w:r>
      <w:r>
        <w:rPr>
          <w:rFonts w:hint="eastAsia" w:ascii="仿宋_GB2312" w:hAnsi="仿宋_GB2312" w:eastAsia="仿宋_GB2312" w:cs="仿宋_GB2312"/>
          <w:sz w:val="32"/>
          <w:szCs w:val="32"/>
        </w:rPr>
        <w:t>通过召开乡村治理民情恳谈会、创新乡村治理工作推进会，同时在县级媒体上进行了宣传报道，溆浦县北斗溪镇积极探索基层治理经验，推出了“村规民约”“幸福基金”的乡村治理办法，并在沙坪、坪溪、华荣等村进行了试点，得到了省市肯定，并在全市进行推广。</w:t>
      </w:r>
    </w:p>
    <w:p>
      <w:pPr>
        <w:spacing w:line="600" w:lineRule="exact"/>
        <w:ind w:firstLine="57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发展壮大村级集体经济。</w:t>
      </w:r>
      <w:r>
        <w:rPr>
          <w:rFonts w:hint="eastAsia" w:ascii="仿宋_GB2312" w:hAnsi="仿宋_GB2312" w:eastAsia="仿宋_GB2312" w:cs="仿宋_GB2312"/>
          <w:b/>
          <w:kern w:val="0"/>
          <w:sz w:val="32"/>
          <w:szCs w:val="32"/>
        </w:rPr>
        <w:t>一是</w:t>
      </w:r>
      <w:r>
        <w:rPr>
          <w:rFonts w:hint="eastAsia" w:ascii="仿宋_GB2312" w:hAnsi="仿宋_GB2312" w:eastAsia="仿宋_GB2312" w:cs="仿宋_GB2312"/>
          <w:kern w:val="0"/>
          <w:sz w:val="32"/>
          <w:szCs w:val="32"/>
        </w:rPr>
        <w:t>领导高度重视。县委、县政府先后出台《溆浦县推动新型农村集体经济发展二十二条措施》《溆浦县村级集体经济“消薄攻坚行动”实施方案》《关于支持组建村级劳务市场经营主体发展壮大村级集体经济的指导意见（试行）》等政策文件；对涉农项目进行全面梳理，共整合涉农资金5000余万元，用于支持村级集体经济产业发展项目146个173个村，</w:t>
      </w:r>
      <w:r>
        <w:rPr>
          <w:rFonts w:hint="eastAsia" w:ascii="仿宋_GB2312" w:hAnsi="仿宋_GB2312" w:eastAsia="仿宋_GB2312" w:cs="仿宋_GB2312"/>
          <w:sz w:val="32"/>
          <w:szCs w:val="32"/>
        </w:rPr>
        <w:t>同时每年单独安排整合资金500万元设立村集体经济收入突破奖，</w:t>
      </w:r>
      <w:r>
        <w:rPr>
          <w:rFonts w:hint="eastAsia" w:ascii="仿宋_GB2312" w:hAnsi="仿宋_GB2312" w:eastAsia="仿宋_GB2312" w:cs="仿宋_GB2312"/>
          <w:kern w:val="0"/>
          <w:sz w:val="32"/>
          <w:szCs w:val="32"/>
        </w:rPr>
        <w:t>把扶持壮大村级集体经济情况纳入乡镇领导班子综合考核评价的重要内容。</w:t>
      </w:r>
      <w:r>
        <w:rPr>
          <w:rFonts w:hint="eastAsia" w:ascii="仿宋_GB2312" w:hAnsi="仿宋_GB2312" w:eastAsia="仿宋_GB2312" w:cs="仿宋_GB2312"/>
          <w:b/>
          <w:kern w:val="0"/>
          <w:sz w:val="32"/>
          <w:szCs w:val="32"/>
        </w:rPr>
        <w:t>二是</w:t>
      </w:r>
      <w:r>
        <w:rPr>
          <w:rFonts w:hint="eastAsia" w:ascii="仿宋_GB2312" w:hAnsi="仿宋_GB2312" w:eastAsia="仿宋_GB2312" w:cs="仿宋_GB2312"/>
          <w:kern w:val="0"/>
          <w:sz w:val="32"/>
          <w:szCs w:val="32"/>
        </w:rPr>
        <w:t>因地制宜兴产业。全县25个乡镇坚持“一村一品、一乡一业”，积极推行“支部+公司（合作社）+农户”、怀化市发展村体经济“八种模式”等模式，整合资源，因地施策，做大做强“溆浦脐橙”、“溆浦瑶茶”、“溆浦山银花”、宝山云雾茶、中药材（黄精、罗汉果）等一批特色产业,村集体经济不断壮大。</w:t>
      </w:r>
      <w:r>
        <w:rPr>
          <w:rFonts w:hint="eastAsia" w:ascii="仿宋_GB2312" w:hAnsi="仿宋_GB2312" w:eastAsia="仿宋_GB2312" w:cs="仿宋_GB2312"/>
          <w:b/>
          <w:kern w:val="0"/>
          <w:sz w:val="32"/>
          <w:szCs w:val="32"/>
        </w:rPr>
        <w:t>三是</w:t>
      </w:r>
      <w:r>
        <w:rPr>
          <w:rFonts w:hint="eastAsia" w:ascii="仿宋_GB2312" w:hAnsi="仿宋_GB2312" w:eastAsia="仿宋_GB2312" w:cs="仿宋_GB2312"/>
          <w:kern w:val="0"/>
          <w:sz w:val="32"/>
          <w:szCs w:val="32"/>
        </w:rPr>
        <w:t>坚定不移做大做强文旅产业。景区建设“再提质”，红色名片“再擦亮”，旅游资源“再整合”，真正让“警予家乡·红色溆浦”名片享誉湖湘，通过雪峰旅游、思蒙湿地公园、山背梯田、北斗溪研学基地等文旅产品，做大做强生态旅游带动全县村级集体经济发展迈向更高台阶。今年全县在2021年底消薄村数基础上，2022年消除村集体经营性收入低于5万元以下的“薄弱村”217个已全部完成消薄任务，消薄比例达100%。</w:t>
      </w:r>
    </w:p>
    <w:p>
      <w:pPr>
        <w:numPr>
          <w:ilvl w:val="0"/>
          <w:numId w:val="0"/>
        </w:numPr>
        <w:tabs>
          <w:tab w:val="left" w:pos="0"/>
        </w:tabs>
        <w:spacing w:line="560" w:lineRule="exact"/>
        <w:ind w:left="0" w:leftChars="0" w:firstLine="643" w:firstLineChars="200"/>
        <w:rPr>
          <w:rFonts w:hint="eastAsia" w:ascii="仿宋_GB2312" w:hAnsi="仿宋_GB2312" w:eastAsia="仿宋_GB2312" w:cs="仿宋_GB2312"/>
          <w:b w:val="0"/>
          <w:bCs w:val="0"/>
          <w:sz w:val="32"/>
          <w:szCs w:val="32"/>
          <w:lang w:val="en-US"/>
        </w:rPr>
      </w:pPr>
      <w:r>
        <w:rPr>
          <w:rFonts w:hint="eastAsia" w:ascii="仿宋_GB2312" w:hAnsi="仿宋_GB2312" w:eastAsia="仿宋_GB2312" w:cs="仿宋_GB2312"/>
          <w:b/>
          <w:bCs/>
          <w:kern w:val="0"/>
          <w:sz w:val="32"/>
          <w:szCs w:val="32"/>
          <w:shd w:val="clear" w:color="auto" w:fill="FFFFFF"/>
          <w:lang w:val="en-US" w:eastAsia="zh-CN"/>
        </w:rPr>
        <w:t>7、</w:t>
      </w:r>
      <w:r>
        <w:rPr>
          <w:rFonts w:hint="eastAsia" w:ascii="仿宋_GB2312" w:hAnsi="仿宋_GB2312" w:eastAsia="仿宋_GB2312" w:cs="仿宋_GB2312"/>
          <w:kern w:val="0"/>
          <w:sz w:val="32"/>
          <w:szCs w:val="32"/>
        </w:rPr>
        <w:t>加强农村土地承包经营纠纷仲裁调解工作。</w:t>
      </w:r>
      <w:r>
        <w:rPr>
          <w:rFonts w:hint="eastAsia" w:ascii="仿宋_GB2312" w:hAnsi="仿宋_GB2312" w:eastAsia="仿宋_GB2312" w:cs="仿宋_GB2312"/>
          <w:b/>
          <w:bCs/>
          <w:kern w:val="0"/>
          <w:sz w:val="32"/>
          <w:szCs w:val="32"/>
          <w:shd w:val="clear" w:color="auto" w:fill="FFFFFF"/>
          <w:lang w:eastAsia="zh-CN"/>
        </w:rPr>
        <w:t>一是</w:t>
      </w:r>
      <w:r>
        <w:rPr>
          <w:rFonts w:hint="eastAsia" w:ascii="仿宋_GB2312" w:hAnsi="仿宋_GB2312" w:eastAsia="仿宋_GB2312" w:cs="仿宋_GB2312"/>
          <w:b w:val="0"/>
          <w:bCs w:val="0"/>
          <w:kern w:val="0"/>
          <w:sz w:val="32"/>
          <w:szCs w:val="32"/>
          <w:shd w:val="clear" w:color="auto" w:fill="FFFFFF"/>
          <w:lang w:eastAsia="zh-CN"/>
        </w:rPr>
        <w:t>领导高度重视，</w:t>
      </w:r>
      <w:r>
        <w:rPr>
          <w:rFonts w:hint="eastAsia" w:ascii="仿宋_GB2312" w:hAnsi="仿宋_GB2312" w:eastAsia="仿宋_GB2312" w:cs="仿宋_GB2312"/>
          <w:b w:val="0"/>
          <w:bCs w:val="0"/>
          <w:kern w:val="0"/>
          <w:sz w:val="32"/>
          <w:szCs w:val="32"/>
          <w:shd w:val="clear" w:color="auto" w:fill="FFFFFF"/>
        </w:rPr>
        <w:t>农村土地承包经营纠纷调处好坏，直接关系到农村社</w:t>
      </w:r>
      <w:r>
        <w:rPr>
          <w:rFonts w:hint="eastAsia" w:ascii="仿宋_GB2312" w:hAnsi="仿宋_GB2312" w:eastAsia="仿宋_GB2312" w:cs="仿宋_GB2312"/>
          <w:kern w:val="0"/>
          <w:sz w:val="32"/>
          <w:szCs w:val="32"/>
          <w:shd w:val="clear" w:color="auto" w:fill="FFFFFF"/>
        </w:rPr>
        <w:t>会的稳定，县委、政府和农站领导历来对全县农村土地承包管理工作高度重视，始终把推进农村土地承包经营纠纷调解仲裁管理体系建设纳入全县社会综合治理管理工作重要议事日程。</w:t>
      </w:r>
      <w:r>
        <w:rPr>
          <w:rFonts w:hint="eastAsia" w:ascii="仿宋_GB2312" w:hAnsi="仿宋_GB2312" w:eastAsia="仿宋_GB2312" w:cs="仿宋_GB2312"/>
          <w:b/>
          <w:bCs/>
          <w:kern w:val="0"/>
          <w:sz w:val="32"/>
          <w:szCs w:val="32"/>
          <w:shd w:val="clear" w:color="auto" w:fill="FFFFFF"/>
          <w:lang w:eastAsia="zh-CN"/>
        </w:rPr>
        <w:t>二是</w:t>
      </w:r>
      <w:r>
        <w:rPr>
          <w:rFonts w:hint="eastAsia" w:ascii="仿宋_GB2312" w:hAnsi="仿宋_GB2312" w:eastAsia="仿宋_GB2312" w:cs="仿宋_GB2312"/>
          <w:kern w:val="0"/>
          <w:sz w:val="32"/>
          <w:szCs w:val="32"/>
          <w:shd w:val="clear" w:color="auto" w:fill="FFFFFF"/>
        </w:rPr>
        <w:t>落实了土地承包纠纷案件办理责任制。严格执行土地承包经营纠纷案件“属地管理、分级负责，谁主管、谁负责”的原则，加大土地承包经营纠纷信访督办力度，把纠纷解决在当地，把矛盾化解在基层。</w:t>
      </w:r>
      <w:r>
        <w:rPr>
          <w:rFonts w:hint="eastAsia" w:ascii="仿宋_GB2312" w:hAnsi="仿宋_GB2312" w:eastAsia="仿宋_GB2312" w:cs="仿宋_GB2312"/>
          <w:b/>
          <w:bCs/>
          <w:kern w:val="0"/>
          <w:sz w:val="32"/>
          <w:szCs w:val="32"/>
          <w:shd w:val="clear" w:color="auto" w:fill="FFFFFF"/>
          <w:lang w:eastAsia="zh-CN"/>
        </w:rPr>
        <w:t>三是</w:t>
      </w:r>
      <w:r>
        <w:rPr>
          <w:rFonts w:hint="eastAsia" w:ascii="仿宋_GB2312" w:hAnsi="仿宋_GB2312" w:eastAsia="仿宋_GB2312" w:cs="仿宋_GB2312"/>
          <w:kern w:val="0"/>
          <w:sz w:val="32"/>
          <w:szCs w:val="32"/>
          <w:shd w:val="clear" w:color="auto" w:fill="FFFFFF"/>
        </w:rPr>
        <w:t>抓好村级干部的政策法规培训，广泛深入千家万户进行政策法规宣传，让广大群众了解解决纠纷的途径，提高依法保护自己的合法权益的意识和能力。</w:t>
      </w:r>
      <w:r>
        <w:rPr>
          <w:rFonts w:hint="eastAsia" w:ascii="仿宋_GB2312" w:hAnsi="仿宋_GB2312" w:eastAsia="仿宋_GB2312" w:cs="仿宋_GB2312"/>
          <w:b/>
          <w:bCs/>
          <w:kern w:val="0"/>
          <w:sz w:val="32"/>
          <w:szCs w:val="32"/>
          <w:shd w:val="clear" w:color="auto" w:fill="FFFFFF"/>
          <w:lang w:eastAsia="zh-CN"/>
        </w:rPr>
        <w:t>四</w:t>
      </w:r>
      <w:r>
        <w:rPr>
          <w:rFonts w:hint="eastAsia" w:ascii="仿宋_GB2312" w:hAnsi="仿宋_GB2312" w:eastAsia="仿宋_GB2312" w:cs="仿宋_GB2312"/>
          <w:b/>
          <w:bCs/>
          <w:kern w:val="0"/>
          <w:sz w:val="32"/>
          <w:szCs w:val="32"/>
          <w:shd w:val="clear" w:color="auto" w:fill="FFFFFF"/>
        </w:rPr>
        <w:t>是</w:t>
      </w:r>
      <w:r>
        <w:rPr>
          <w:rFonts w:hint="eastAsia" w:ascii="仿宋_GB2312" w:hAnsi="仿宋_GB2312" w:eastAsia="仿宋_GB2312" w:cs="仿宋_GB2312"/>
          <w:kern w:val="0"/>
          <w:sz w:val="32"/>
          <w:szCs w:val="32"/>
          <w:shd w:val="clear" w:color="auto" w:fill="FFFFFF"/>
        </w:rPr>
        <w:t>各乡镇建立农村土地承包纠纷调解办公室，负责本乡镇土地承包纠纷的调解工作，在每个村由书记、主任组成3人以上调解小组，负责本村农村土地承包纠纷调解工作。</w:t>
      </w:r>
      <w:r>
        <w:rPr>
          <w:rFonts w:hint="eastAsia" w:ascii="仿宋_GB2312" w:hAnsi="仿宋_GB2312" w:eastAsia="仿宋_GB2312" w:cs="仿宋_GB2312"/>
          <w:b/>
          <w:bCs/>
          <w:kern w:val="0"/>
          <w:sz w:val="32"/>
          <w:szCs w:val="32"/>
          <w:shd w:val="clear" w:color="auto" w:fill="FFFFFF"/>
          <w:lang w:eastAsia="zh-CN"/>
        </w:rPr>
        <w:t>五</w:t>
      </w:r>
      <w:r>
        <w:rPr>
          <w:rFonts w:hint="eastAsia" w:ascii="仿宋_GB2312" w:hAnsi="仿宋_GB2312" w:eastAsia="仿宋_GB2312" w:cs="仿宋_GB2312"/>
          <w:b/>
          <w:bCs/>
          <w:kern w:val="0"/>
          <w:sz w:val="32"/>
          <w:szCs w:val="32"/>
          <w:shd w:val="clear" w:color="auto" w:fill="FFFFFF"/>
        </w:rPr>
        <w:t>是</w:t>
      </w:r>
      <w:r>
        <w:rPr>
          <w:rFonts w:hint="eastAsia" w:ascii="仿宋_GB2312" w:hAnsi="仿宋_GB2312" w:eastAsia="仿宋_GB2312" w:cs="仿宋_GB2312"/>
          <w:kern w:val="0"/>
          <w:sz w:val="32"/>
          <w:szCs w:val="32"/>
          <w:shd w:val="clear" w:color="auto" w:fill="FFFFFF"/>
        </w:rPr>
        <w:t>县乡镇认真做好土地承包经营纠纷信访件的落实。对农村群众反映的问题，做到及时落实核查、调处、信息反馈，努力把信访矛盾解决在基层，化解在萌芽状态，确保农村群众反映的问题做到事事有人管，件件有着落，维护了农村稳定。截止20</w:t>
      </w:r>
      <w:r>
        <w:rPr>
          <w:rFonts w:hint="eastAsia" w:ascii="仿宋_GB2312" w:hAnsi="仿宋_GB2312" w:eastAsia="仿宋_GB2312" w:cs="仿宋_GB2312"/>
          <w:kern w:val="0"/>
          <w:sz w:val="32"/>
          <w:szCs w:val="32"/>
          <w:shd w:val="clear" w:color="auto" w:fill="FFFFFF"/>
          <w:lang w:val="en-US" w:eastAsia="zh-CN"/>
        </w:rPr>
        <w:t>22</w:t>
      </w:r>
      <w:r>
        <w:rPr>
          <w:rFonts w:hint="eastAsia" w:ascii="仿宋_GB2312" w:hAnsi="仿宋_GB2312" w:eastAsia="仿宋_GB2312" w:cs="仿宋_GB2312"/>
          <w:kern w:val="0"/>
          <w:sz w:val="32"/>
          <w:szCs w:val="32"/>
          <w:shd w:val="clear" w:color="auto" w:fill="FFFFFF"/>
        </w:rPr>
        <w:t>年</w:t>
      </w:r>
      <w:r>
        <w:rPr>
          <w:rFonts w:hint="eastAsia" w:ascii="仿宋_GB2312" w:hAnsi="仿宋_GB2312" w:eastAsia="仿宋_GB2312" w:cs="仿宋_GB2312"/>
          <w:kern w:val="0"/>
          <w:sz w:val="32"/>
          <w:szCs w:val="32"/>
          <w:shd w:val="clear" w:color="auto" w:fill="FFFFFF"/>
          <w:lang w:val="en-US" w:eastAsia="zh-CN"/>
        </w:rPr>
        <w:t>12</w:t>
      </w:r>
      <w:r>
        <w:rPr>
          <w:rFonts w:hint="eastAsia" w:ascii="仿宋_GB2312" w:hAnsi="仿宋_GB2312" w:eastAsia="仿宋_GB2312" w:cs="仿宋_GB2312"/>
          <w:kern w:val="0"/>
          <w:sz w:val="32"/>
          <w:szCs w:val="32"/>
          <w:shd w:val="clear" w:color="auto" w:fill="FFFFFF"/>
        </w:rPr>
        <w:t>月，全县没有发生一起群体性上访和越级上访事件。共受理土地承包经营纠纷案件</w:t>
      </w:r>
      <w:r>
        <w:rPr>
          <w:rFonts w:hint="eastAsia" w:ascii="仿宋_GB2312" w:hAnsi="仿宋_GB2312" w:eastAsia="仿宋_GB2312" w:cs="仿宋_GB2312"/>
          <w:kern w:val="0"/>
          <w:sz w:val="32"/>
          <w:szCs w:val="32"/>
          <w:shd w:val="clear" w:color="auto" w:fill="FFFFFF"/>
          <w:lang w:val="en-US" w:eastAsia="zh-CN"/>
        </w:rPr>
        <w:t>28</w:t>
      </w:r>
      <w:r>
        <w:rPr>
          <w:rFonts w:hint="eastAsia" w:ascii="仿宋_GB2312" w:hAnsi="仿宋_GB2312" w:eastAsia="仿宋_GB2312" w:cs="仿宋_GB2312"/>
          <w:kern w:val="0"/>
          <w:sz w:val="32"/>
          <w:szCs w:val="32"/>
          <w:shd w:val="clear" w:color="auto" w:fill="FFFFFF"/>
        </w:rPr>
        <w:t>件，其中县乡村调解数</w:t>
      </w:r>
      <w:r>
        <w:rPr>
          <w:rFonts w:hint="eastAsia" w:ascii="仿宋_GB2312" w:hAnsi="仿宋_GB2312" w:eastAsia="仿宋_GB2312" w:cs="仿宋_GB2312"/>
          <w:kern w:val="0"/>
          <w:sz w:val="32"/>
          <w:szCs w:val="32"/>
          <w:shd w:val="clear" w:color="auto" w:fill="FFFFFF"/>
          <w:lang w:val="en-US" w:eastAsia="zh-CN"/>
        </w:rPr>
        <w:t>28</w:t>
      </w:r>
      <w:r>
        <w:rPr>
          <w:rFonts w:hint="eastAsia" w:ascii="仿宋_GB2312" w:hAnsi="仿宋_GB2312" w:eastAsia="仿宋_GB2312" w:cs="仿宋_GB2312"/>
          <w:kern w:val="0"/>
          <w:sz w:val="32"/>
          <w:szCs w:val="32"/>
          <w:shd w:val="clear" w:color="auto" w:fill="FFFFFF"/>
        </w:rPr>
        <w:t>件，调解结案率100%</w:t>
      </w:r>
      <w:r>
        <w:rPr>
          <w:rFonts w:hint="eastAsia" w:ascii="仿宋_GB2312" w:hAnsi="仿宋_GB2312" w:eastAsia="仿宋_GB2312" w:cs="仿宋_GB2312"/>
          <w:kern w:val="0"/>
          <w:sz w:val="32"/>
          <w:szCs w:val="32"/>
          <w:shd w:val="clear" w:color="auto" w:fill="FFFFFF"/>
          <w:lang w:eastAsia="zh-CN"/>
        </w:rPr>
        <w:t>。并</w:t>
      </w:r>
      <w:r>
        <w:rPr>
          <w:rFonts w:hint="eastAsia" w:ascii="仿宋_GB2312" w:hAnsi="仿宋_GB2312" w:eastAsia="仿宋_GB2312" w:cs="仿宋_GB2312"/>
          <w:b w:val="0"/>
          <w:bCs w:val="0"/>
          <w:kern w:val="0"/>
          <w:sz w:val="32"/>
          <w:szCs w:val="32"/>
          <w:shd w:val="clear" w:color="auto" w:fill="FFFFFF"/>
          <w:lang w:eastAsia="zh-CN"/>
        </w:rPr>
        <w:t>在全市平安建设考评中我县的农村土地承包经营纠纷调解仲裁考评获得了全市第一名的好成绩。</w:t>
      </w:r>
    </w:p>
    <w:p>
      <w:pPr>
        <w:spacing w:line="60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bCs/>
          <w:color w:val="000000"/>
          <w:sz w:val="32"/>
          <w:szCs w:val="32"/>
        </w:rPr>
        <w:t>农村土地承包经营权有偿退出后续试点。</w:t>
      </w:r>
      <w:r>
        <w:rPr>
          <w:rFonts w:hint="eastAsia" w:ascii="仿宋_GB2312" w:hAnsi="仿宋_GB2312" w:eastAsia="仿宋_GB2312" w:cs="仿宋_GB2312"/>
          <w:sz w:val="32"/>
          <w:szCs w:val="32"/>
        </w:rPr>
        <w:t>为有效推进我县农村土地承包经营权有偿退出工作深入开展,加快推进我县农村产权制度改革，更好地盘活农村资源，促进乡村振兴，今年，县人民政府将祖师殿镇星光居委会做为农村土地承包经营权（宅基地）有偿退出工作后续试点村（居）,3月份启动试点工作，试点工作共涉及4个居民小组、78户承包户，退出形式为农户承包地有偿退出给集体经济组织。试点工作期间，共签订有偿退出合同78份，退出涉及地块88块，有偿退出承包地面积126亩，</w:t>
      </w:r>
      <w:r>
        <w:rPr>
          <w:rFonts w:hint="eastAsia" w:ascii="仿宋_GB2312" w:hAnsi="仿宋_GB2312" w:eastAsia="仿宋_GB2312" w:cs="仿宋_GB2312"/>
          <w:bCs/>
          <w:sz w:val="32"/>
          <w:szCs w:val="32"/>
        </w:rPr>
        <w:t>涉及补偿资金总计</w:t>
      </w:r>
      <w:r>
        <w:rPr>
          <w:rFonts w:hint="eastAsia" w:ascii="仿宋_GB2312" w:hAnsi="仿宋_GB2312" w:eastAsia="仿宋_GB2312" w:cs="仿宋_GB2312"/>
          <w:sz w:val="32"/>
          <w:szCs w:val="32"/>
        </w:rPr>
        <w:t>3.78万元。目前，星光社区土地承包经营权（宅基地）有偿退出后续试点工作已圆满完成，既</w:t>
      </w:r>
      <w:r>
        <w:rPr>
          <w:rFonts w:hint="eastAsia" w:ascii="仿宋_GB2312" w:hAnsi="仿宋_GB2312" w:eastAsia="仿宋_GB2312" w:cs="仿宋_GB2312"/>
          <w:bCs/>
          <w:sz w:val="32"/>
          <w:szCs w:val="32"/>
        </w:rPr>
        <w:t>解决了社区部分土地抛荒的问题，也解决了部分农户因生产、创业缺少资金的问题，进城农户和老年户多了增收途径，增加了土地收益约5万余元，试点工作取得了良好的工作成效。</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 xml:space="preserve"> 扎实开展农村集体“三资”专项治理工作。</w:t>
      </w:r>
      <w:r>
        <w:rPr>
          <w:rFonts w:hint="eastAsia" w:ascii="仿宋_GB2312" w:hAnsi="仿宋_GB2312" w:eastAsia="仿宋_GB2312" w:cs="仿宋_GB2312"/>
          <w:sz w:val="32"/>
          <w:szCs w:val="32"/>
        </w:rPr>
        <w:t>出台了《溆浦县村集体“三资”管理突出问题专项治理工作方案》（溆产权办[2022]1号）文件。通过对全县25个乡镇386个村进行村集体“三资”管理突出问题专项治理业务培训，完成了村集体经济组织成员身份不清12187人签定了承诺函并做了更改。实现了村级财务规范化管理，对“村集体资产家底不清，未录入清产核资系统、扶贫项目资产后续管理不到位、经济合同不规范、财务管理不规范、债权债务管控问题、集体工程项目管理不规范、其他农村集体“三资”管理方面”等七个方面的问题进行了专项整治。</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rPr>
        <w:t>认真组织村级财务管理工作。</w:t>
      </w:r>
      <w:r>
        <w:rPr>
          <w:rFonts w:hint="eastAsia" w:ascii="仿宋_GB2312" w:hAnsi="仿宋_GB2312" w:eastAsia="仿宋_GB2312" w:cs="仿宋_GB2312"/>
          <w:sz w:val="32"/>
          <w:szCs w:val="32"/>
        </w:rPr>
        <w:t>对镇村两级业务人员进行业务培训，共培训人员达605人次。通过村级自查和县乡两级重点抽查，核实了全县412个村（居）的家底，全县村级总资源803万亩。截止到2021年底，村集体总资产12.75亿元（其中经营性资产5935万元）、总负债2亿元；2019年至2021年底，村级总收入14.43亿元（其中经营性收入5232万元）、总支出13.26亿元。通过这次的清查，发现村级财务通过乡镇财政所代管以来，有了很大的改观，特别是票据的规范、凭证的装订等方面有了很大的改善。但是通过清查，发现了782个问题，正在按要求进行整改规范当中。</w:t>
      </w:r>
    </w:p>
    <w:p>
      <w:pPr>
        <w:spacing w:line="61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11、</w:t>
      </w:r>
      <w:r>
        <w:rPr>
          <w:rFonts w:hint="eastAsia" w:ascii="仿宋_GB2312" w:hAnsi="仿宋_GB2312" w:eastAsia="仿宋_GB2312" w:cs="仿宋_GB2312"/>
          <w:kern w:val="0"/>
          <w:sz w:val="32"/>
          <w:szCs w:val="32"/>
        </w:rPr>
        <w:t>落实农民权益维护和农民负担监督</w:t>
      </w:r>
      <w:r>
        <w:rPr>
          <w:rFonts w:hint="eastAsia" w:ascii="仿宋_GB2312" w:hAnsi="仿宋_GB2312" w:eastAsia="仿宋_GB2312" w:cs="仿宋_GB2312"/>
          <w:kern w:val="0"/>
          <w:sz w:val="32"/>
          <w:szCs w:val="32"/>
          <w:lang w:eastAsia="zh-CN"/>
        </w:rPr>
        <w:t>管理</w:t>
      </w:r>
      <w:r>
        <w:rPr>
          <w:rFonts w:hint="eastAsia" w:ascii="仿宋_GB2312" w:hAnsi="仿宋_GB2312" w:eastAsia="仿宋_GB2312" w:cs="仿宋_GB2312"/>
          <w:kern w:val="0"/>
          <w:sz w:val="32"/>
          <w:szCs w:val="32"/>
        </w:rPr>
        <w:t>政策工作。</w:t>
      </w:r>
      <w:r>
        <w:rPr>
          <w:rFonts w:hint="eastAsia" w:ascii="仿宋_GB2312" w:hAnsi="仿宋_GB2312" w:eastAsia="仿宋_GB2312" w:cs="仿宋_GB2312"/>
          <w:sz w:val="32"/>
          <w:szCs w:val="32"/>
        </w:rPr>
        <w:t>健全完善惠农减负各项制度，增强工作活力，落实部门工作责任，制定了涉农部门和乡镇年度落实惠农减负政策工作任务分解，组织开展了惠农减负政策工作落实专项督查，重点督查惠农资金的发放、学校违规收费等存在的问题。继续落实农民负担年度检查通报制，确保减负工作在基层落实落细。</w:t>
      </w:r>
    </w:p>
    <w:p>
      <w:pPr>
        <w:spacing w:line="5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六</w:t>
      </w:r>
      <w:r>
        <w:rPr>
          <w:rFonts w:hint="eastAsia" w:ascii="仿宋_GB2312" w:hAnsi="仿宋_GB2312" w:eastAsia="仿宋_GB2312" w:cs="仿宋_GB2312"/>
          <w:b/>
          <w:sz w:val="32"/>
          <w:szCs w:val="32"/>
        </w:rPr>
        <w:t>、存在的主要问题</w:t>
      </w:r>
    </w:p>
    <w:p>
      <w:pPr>
        <w:spacing w:line="500" w:lineRule="exact"/>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1、预算不够明确和细化，预算编制的合理性不够，预算和实际支出调整较大。预算执行力度还要进一步加强。</w:t>
      </w:r>
    </w:p>
    <w:p>
      <w:pPr>
        <w:spacing w:line="500" w:lineRule="exact"/>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2、内部管理相关制度虽已建立，但管理上较为粗糙，部分未实际落实到位。</w:t>
      </w:r>
    </w:p>
    <w:p>
      <w:pPr>
        <w:spacing w:line="5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七</w:t>
      </w:r>
      <w:r>
        <w:rPr>
          <w:rFonts w:hint="eastAsia" w:ascii="仿宋_GB2312" w:hAnsi="仿宋_GB2312" w:eastAsia="仿宋_GB2312" w:cs="仿宋_GB2312"/>
          <w:b/>
          <w:sz w:val="32"/>
          <w:szCs w:val="32"/>
        </w:rPr>
        <w:t>、改进措施和有关建议</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细化预算编制工作，将进一步重视预算的编制工作，加强单位内部机构的预算管理意识，科学规划预算编制的精确度，提高财政资金使用效率，加强内部预算编制的审核和预算控制指标的下达，尽量减少预算资金的调整、结转和结余的情形。</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2、进一步完善和落实相关管理制度，全站上下应加强学习内部控制管理制度，严格遵照相关制度贯彻落实到位，做到精细化管理。   　　　</w:t>
      </w:r>
    </w:p>
    <w:sectPr>
      <w:footerReference r:id="rId3" w:type="default"/>
      <w:pgSz w:w="11906" w:h="16838"/>
      <w:pgMar w:top="1701" w:right="1502" w:bottom="1531" w:left="1502"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43581"/>
    </w:sdtPr>
    <w:sdtContent>
      <w:p>
        <w:pPr>
          <w:pStyle w:val="5"/>
          <w:jc w:val="right"/>
        </w:pPr>
        <w:r>
          <w:fldChar w:fldCharType="begin"/>
        </w:r>
        <w:r>
          <w:instrText xml:space="preserve"> PAGE   \* MERGEFORMAT </w:instrText>
        </w:r>
        <w:r>
          <w:fldChar w:fldCharType="separate"/>
        </w:r>
        <w:r>
          <w:rPr>
            <w:lang w:val="zh-CN"/>
          </w:rPr>
          <w:t>6</w:t>
        </w:r>
        <w:r>
          <w:rPr>
            <w:lang w:val="zh-CN"/>
          </w:rP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3513FA"/>
    <w:multiLevelType w:val="multilevel"/>
    <w:tmpl w:val="1A3513FA"/>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23826D2E"/>
    <w:multiLevelType w:val="multilevel"/>
    <w:tmpl w:val="23826D2E"/>
    <w:lvl w:ilvl="0" w:tentative="0">
      <w:start w:val="1"/>
      <w:numFmt w:val="japaneseCounting"/>
      <w:lvlText w:val="(%1)"/>
      <w:lvlJc w:val="left"/>
      <w:pPr>
        <w:ind w:left="1027" w:hanging="465"/>
      </w:pPr>
      <w:rPr>
        <w:rFonts w:hint="default"/>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51B9663C"/>
    <w:multiLevelType w:val="multilevel"/>
    <w:tmpl w:val="51B9663C"/>
    <w:lvl w:ilvl="0" w:tentative="0">
      <w:start w:val="1"/>
      <w:numFmt w:val="japaneseCounting"/>
      <w:lvlText w:val="%1、"/>
      <w:lvlJc w:val="left"/>
      <w:pPr>
        <w:ind w:left="1282" w:hanging="720"/>
      </w:pPr>
      <w:rPr>
        <w:rFonts w:hint="default"/>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1NDIzMzM2ZTdiMmQ5OTRhYjQzNTg0ZWFhYTFjZjMifQ=="/>
  </w:docVars>
  <w:rsids>
    <w:rsidRoot w:val="005D0FC3"/>
    <w:rsid w:val="0000457F"/>
    <w:rsid w:val="00013184"/>
    <w:rsid w:val="000131C0"/>
    <w:rsid w:val="000253B8"/>
    <w:rsid w:val="000333D0"/>
    <w:rsid w:val="00050779"/>
    <w:rsid w:val="00061ABE"/>
    <w:rsid w:val="00082994"/>
    <w:rsid w:val="00093E43"/>
    <w:rsid w:val="000A17CB"/>
    <w:rsid w:val="000A3DFD"/>
    <w:rsid w:val="000A45B6"/>
    <w:rsid w:val="000D4D5F"/>
    <w:rsid w:val="000E2922"/>
    <w:rsid w:val="000E2A10"/>
    <w:rsid w:val="000F64F6"/>
    <w:rsid w:val="00101596"/>
    <w:rsid w:val="001031FA"/>
    <w:rsid w:val="00104061"/>
    <w:rsid w:val="0010591D"/>
    <w:rsid w:val="0010598C"/>
    <w:rsid w:val="001074FA"/>
    <w:rsid w:val="00110BDC"/>
    <w:rsid w:val="00125A97"/>
    <w:rsid w:val="00127C76"/>
    <w:rsid w:val="001318C3"/>
    <w:rsid w:val="00132B6D"/>
    <w:rsid w:val="00132CBB"/>
    <w:rsid w:val="0013743C"/>
    <w:rsid w:val="00137DA5"/>
    <w:rsid w:val="00142E02"/>
    <w:rsid w:val="00146565"/>
    <w:rsid w:val="001524E6"/>
    <w:rsid w:val="00154123"/>
    <w:rsid w:val="0015574B"/>
    <w:rsid w:val="0015723A"/>
    <w:rsid w:val="001611F7"/>
    <w:rsid w:val="00162BBA"/>
    <w:rsid w:val="001715E3"/>
    <w:rsid w:val="0017396B"/>
    <w:rsid w:val="00174539"/>
    <w:rsid w:val="001E79AC"/>
    <w:rsid w:val="00207C3D"/>
    <w:rsid w:val="0021623F"/>
    <w:rsid w:val="002275CA"/>
    <w:rsid w:val="002327F8"/>
    <w:rsid w:val="002341AD"/>
    <w:rsid w:val="00240D62"/>
    <w:rsid w:val="0024293E"/>
    <w:rsid w:val="002634F1"/>
    <w:rsid w:val="00267EEF"/>
    <w:rsid w:val="00276854"/>
    <w:rsid w:val="002878A8"/>
    <w:rsid w:val="00295C41"/>
    <w:rsid w:val="00297A87"/>
    <w:rsid w:val="00297DC0"/>
    <w:rsid w:val="002A6662"/>
    <w:rsid w:val="002B3688"/>
    <w:rsid w:val="002D2425"/>
    <w:rsid w:val="002D7794"/>
    <w:rsid w:val="002E420D"/>
    <w:rsid w:val="002E6C07"/>
    <w:rsid w:val="002F581B"/>
    <w:rsid w:val="00303F7F"/>
    <w:rsid w:val="003121BD"/>
    <w:rsid w:val="00312A48"/>
    <w:rsid w:val="00331096"/>
    <w:rsid w:val="003317CA"/>
    <w:rsid w:val="00332637"/>
    <w:rsid w:val="003342F6"/>
    <w:rsid w:val="00340A10"/>
    <w:rsid w:val="003474BE"/>
    <w:rsid w:val="00351C0D"/>
    <w:rsid w:val="00354FEA"/>
    <w:rsid w:val="003654A9"/>
    <w:rsid w:val="003836F0"/>
    <w:rsid w:val="0039141C"/>
    <w:rsid w:val="00392FB3"/>
    <w:rsid w:val="00397064"/>
    <w:rsid w:val="003977F4"/>
    <w:rsid w:val="003B00AF"/>
    <w:rsid w:val="003B1840"/>
    <w:rsid w:val="003C6A4E"/>
    <w:rsid w:val="003C6D6B"/>
    <w:rsid w:val="003F256C"/>
    <w:rsid w:val="003F5AD7"/>
    <w:rsid w:val="004360BB"/>
    <w:rsid w:val="00437F8D"/>
    <w:rsid w:val="00451822"/>
    <w:rsid w:val="0045217E"/>
    <w:rsid w:val="00455EE2"/>
    <w:rsid w:val="00484297"/>
    <w:rsid w:val="004970CC"/>
    <w:rsid w:val="004A2003"/>
    <w:rsid w:val="004B0E28"/>
    <w:rsid w:val="004B558F"/>
    <w:rsid w:val="004E3401"/>
    <w:rsid w:val="004E5301"/>
    <w:rsid w:val="004F1D5C"/>
    <w:rsid w:val="004F6472"/>
    <w:rsid w:val="00510CC2"/>
    <w:rsid w:val="0052183B"/>
    <w:rsid w:val="00522BC9"/>
    <w:rsid w:val="005305E7"/>
    <w:rsid w:val="00536BDF"/>
    <w:rsid w:val="00537D45"/>
    <w:rsid w:val="005537A4"/>
    <w:rsid w:val="0056781A"/>
    <w:rsid w:val="00573AC8"/>
    <w:rsid w:val="0057717A"/>
    <w:rsid w:val="005806D9"/>
    <w:rsid w:val="005815F8"/>
    <w:rsid w:val="005936C7"/>
    <w:rsid w:val="005B19A5"/>
    <w:rsid w:val="005B3E87"/>
    <w:rsid w:val="005C289E"/>
    <w:rsid w:val="005C30F4"/>
    <w:rsid w:val="005C5DE1"/>
    <w:rsid w:val="005D0FC3"/>
    <w:rsid w:val="005E1C39"/>
    <w:rsid w:val="005E7F96"/>
    <w:rsid w:val="006131C7"/>
    <w:rsid w:val="00614F7B"/>
    <w:rsid w:val="0062532F"/>
    <w:rsid w:val="006441BD"/>
    <w:rsid w:val="006512AA"/>
    <w:rsid w:val="00660E98"/>
    <w:rsid w:val="00664FF9"/>
    <w:rsid w:val="00673FDE"/>
    <w:rsid w:val="006768C6"/>
    <w:rsid w:val="00680854"/>
    <w:rsid w:val="00692076"/>
    <w:rsid w:val="006C0BF3"/>
    <w:rsid w:val="006C1324"/>
    <w:rsid w:val="006C1879"/>
    <w:rsid w:val="006C528F"/>
    <w:rsid w:val="006D1FF1"/>
    <w:rsid w:val="006D6073"/>
    <w:rsid w:val="00701098"/>
    <w:rsid w:val="007068C1"/>
    <w:rsid w:val="00712496"/>
    <w:rsid w:val="00712F5A"/>
    <w:rsid w:val="007363A6"/>
    <w:rsid w:val="00745442"/>
    <w:rsid w:val="007479A8"/>
    <w:rsid w:val="0075444A"/>
    <w:rsid w:val="007549E1"/>
    <w:rsid w:val="00771925"/>
    <w:rsid w:val="00784902"/>
    <w:rsid w:val="00786FD5"/>
    <w:rsid w:val="007955AD"/>
    <w:rsid w:val="00796E79"/>
    <w:rsid w:val="007970E1"/>
    <w:rsid w:val="007A04D0"/>
    <w:rsid w:val="007A3697"/>
    <w:rsid w:val="007C6399"/>
    <w:rsid w:val="007D4DCF"/>
    <w:rsid w:val="007D7B81"/>
    <w:rsid w:val="007F080B"/>
    <w:rsid w:val="008052E9"/>
    <w:rsid w:val="008223EF"/>
    <w:rsid w:val="00827587"/>
    <w:rsid w:val="008375FC"/>
    <w:rsid w:val="00840827"/>
    <w:rsid w:val="00847E3C"/>
    <w:rsid w:val="00854355"/>
    <w:rsid w:val="00860FE4"/>
    <w:rsid w:val="008720E9"/>
    <w:rsid w:val="00896024"/>
    <w:rsid w:val="008A04A5"/>
    <w:rsid w:val="008A436C"/>
    <w:rsid w:val="008A62DF"/>
    <w:rsid w:val="008B0FD0"/>
    <w:rsid w:val="008E50DD"/>
    <w:rsid w:val="00924BAE"/>
    <w:rsid w:val="0092670B"/>
    <w:rsid w:val="00930067"/>
    <w:rsid w:val="00964F16"/>
    <w:rsid w:val="009755BC"/>
    <w:rsid w:val="00980BE4"/>
    <w:rsid w:val="00981FC1"/>
    <w:rsid w:val="00982501"/>
    <w:rsid w:val="009956D3"/>
    <w:rsid w:val="009975AC"/>
    <w:rsid w:val="009A0FA3"/>
    <w:rsid w:val="009B0E5A"/>
    <w:rsid w:val="009C6386"/>
    <w:rsid w:val="009C682C"/>
    <w:rsid w:val="009D1F8E"/>
    <w:rsid w:val="009D208A"/>
    <w:rsid w:val="009D529E"/>
    <w:rsid w:val="009E0F84"/>
    <w:rsid w:val="009E1274"/>
    <w:rsid w:val="009F2277"/>
    <w:rsid w:val="00A10CF2"/>
    <w:rsid w:val="00A130D2"/>
    <w:rsid w:val="00A1469F"/>
    <w:rsid w:val="00A150EB"/>
    <w:rsid w:val="00A37009"/>
    <w:rsid w:val="00A6166D"/>
    <w:rsid w:val="00AB1BCE"/>
    <w:rsid w:val="00AB5C9B"/>
    <w:rsid w:val="00AC09C4"/>
    <w:rsid w:val="00AD68B0"/>
    <w:rsid w:val="00AE3C0F"/>
    <w:rsid w:val="00AE4AAC"/>
    <w:rsid w:val="00AE7EC7"/>
    <w:rsid w:val="00AF5354"/>
    <w:rsid w:val="00AF5B7D"/>
    <w:rsid w:val="00B053F2"/>
    <w:rsid w:val="00B12527"/>
    <w:rsid w:val="00B137A2"/>
    <w:rsid w:val="00B17B26"/>
    <w:rsid w:val="00B23A05"/>
    <w:rsid w:val="00B31372"/>
    <w:rsid w:val="00B36865"/>
    <w:rsid w:val="00B3707D"/>
    <w:rsid w:val="00B3758C"/>
    <w:rsid w:val="00B41268"/>
    <w:rsid w:val="00B434E8"/>
    <w:rsid w:val="00B438BC"/>
    <w:rsid w:val="00B571E5"/>
    <w:rsid w:val="00B62553"/>
    <w:rsid w:val="00B67CE2"/>
    <w:rsid w:val="00B71905"/>
    <w:rsid w:val="00B735C1"/>
    <w:rsid w:val="00B777C2"/>
    <w:rsid w:val="00B81ADA"/>
    <w:rsid w:val="00B81D32"/>
    <w:rsid w:val="00BB0336"/>
    <w:rsid w:val="00BB046A"/>
    <w:rsid w:val="00BD2DD8"/>
    <w:rsid w:val="00BE730C"/>
    <w:rsid w:val="00C0406E"/>
    <w:rsid w:val="00C14BE2"/>
    <w:rsid w:val="00C171A4"/>
    <w:rsid w:val="00C2469C"/>
    <w:rsid w:val="00C36943"/>
    <w:rsid w:val="00C440B7"/>
    <w:rsid w:val="00C45684"/>
    <w:rsid w:val="00C51398"/>
    <w:rsid w:val="00C56FB8"/>
    <w:rsid w:val="00C72F36"/>
    <w:rsid w:val="00C75E36"/>
    <w:rsid w:val="00C82465"/>
    <w:rsid w:val="00C83587"/>
    <w:rsid w:val="00C86A63"/>
    <w:rsid w:val="00C93419"/>
    <w:rsid w:val="00C93F04"/>
    <w:rsid w:val="00C9512A"/>
    <w:rsid w:val="00CA44D9"/>
    <w:rsid w:val="00CA6208"/>
    <w:rsid w:val="00CB2957"/>
    <w:rsid w:val="00CB4658"/>
    <w:rsid w:val="00CB483C"/>
    <w:rsid w:val="00CC1972"/>
    <w:rsid w:val="00CC1E49"/>
    <w:rsid w:val="00CC34A9"/>
    <w:rsid w:val="00CC74B2"/>
    <w:rsid w:val="00CD0482"/>
    <w:rsid w:val="00CD4E41"/>
    <w:rsid w:val="00CD4E95"/>
    <w:rsid w:val="00CF4D21"/>
    <w:rsid w:val="00D03756"/>
    <w:rsid w:val="00D109F8"/>
    <w:rsid w:val="00D149E2"/>
    <w:rsid w:val="00D153A3"/>
    <w:rsid w:val="00D1608B"/>
    <w:rsid w:val="00D211AC"/>
    <w:rsid w:val="00D31EB5"/>
    <w:rsid w:val="00D32A74"/>
    <w:rsid w:val="00D435EC"/>
    <w:rsid w:val="00D479C0"/>
    <w:rsid w:val="00D550F0"/>
    <w:rsid w:val="00D67B51"/>
    <w:rsid w:val="00D716DA"/>
    <w:rsid w:val="00D75BB1"/>
    <w:rsid w:val="00D83E8D"/>
    <w:rsid w:val="00D86404"/>
    <w:rsid w:val="00DB10DE"/>
    <w:rsid w:val="00DB6325"/>
    <w:rsid w:val="00DC4448"/>
    <w:rsid w:val="00DC5BD3"/>
    <w:rsid w:val="00DD4AF1"/>
    <w:rsid w:val="00DE2AB3"/>
    <w:rsid w:val="00DE5B56"/>
    <w:rsid w:val="00E00C9B"/>
    <w:rsid w:val="00E03A0B"/>
    <w:rsid w:val="00E06C86"/>
    <w:rsid w:val="00E11D0F"/>
    <w:rsid w:val="00E13C26"/>
    <w:rsid w:val="00E149C3"/>
    <w:rsid w:val="00E14C15"/>
    <w:rsid w:val="00E27C3D"/>
    <w:rsid w:val="00E31B81"/>
    <w:rsid w:val="00E54A3B"/>
    <w:rsid w:val="00E56657"/>
    <w:rsid w:val="00E71094"/>
    <w:rsid w:val="00E733C8"/>
    <w:rsid w:val="00E771A2"/>
    <w:rsid w:val="00EA3C56"/>
    <w:rsid w:val="00EA4C78"/>
    <w:rsid w:val="00EB40D0"/>
    <w:rsid w:val="00ED5BA0"/>
    <w:rsid w:val="00ED5C07"/>
    <w:rsid w:val="00ED76CD"/>
    <w:rsid w:val="00EE3E09"/>
    <w:rsid w:val="00EE4350"/>
    <w:rsid w:val="00EE4DB4"/>
    <w:rsid w:val="00EF1CCC"/>
    <w:rsid w:val="00EF3345"/>
    <w:rsid w:val="00EF52B5"/>
    <w:rsid w:val="00F05D1F"/>
    <w:rsid w:val="00F12A92"/>
    <w:rsid w:val="00F13329"/>
    <w:rsid w:val="00F3510C"/>
    <w:rsid w:val="00F43686"/>
    <w:rsid w:val="00F443DC"/>
    <w:rsid w:val="00F57C17"/>
    <w:rsid w:val="00F60279"/>
    <w:rsid w:val="00F629AF"/>
    <w:rsid w:val="00F63B27"/>
    <w:rsid w:val="00FA0984"/>
    <w:rsid w:val="00FA0E30"/>
    <w:rsid w:val="00FA6482"/>
    <w:rsid w:val="00FB2A29"/>
    <w:rsid w:val="00FC3A6C"/>
    <w:rsid w:val="00FC4037"/>
    <w:rsid w:val="00FF3DF9"/>
    <w:rsid w:val="00FF6D35"/>
    <w:rsid w:val="06B65B73"/>
    <w:rsid w:val="0B43710F"/>
    <w:rsid w:val="0E3878F8"/>
    <w:rsid w:val="0F25170E"/>
    <w:rsid w:val="12436C7C"/>
    <w:rsid w:val="152A4867"/>
    <w:rsid w:val="15AD0B00"/>
    <w:rsid w:val="1A1D6A8D"/>
    <w:rsid w:val="217936F6"/>
    <w:rsid w:val="259D50C2"/>
    <w:rsid w:val="2A981A76"/>
    <w:rsid w:val="2AE76802"/>
    <w:rsid w:val="327421F4"/>
    <w:rsid w:val="361F447C"/>
    <w:rsid w:val="3AD147FC"/>
    <w:rsid w:val="3BB76542"/>
    <w:rsid w:val="3E121CFE"/>
    <w:rsid w:val="3EAA1C40"/>
    <w:rsid w:val="47EC4E23"/>
    <w:rsid w:val="4AFE2CBC"/>
    <w:rsid w:val="4BBF19D3"/>
    <w:rsid w:val="5406348E"/>
    <w:rsid w:val="61872C87"/>
    <w:rsid w:val="6C716C92"/>
    <w:rsid w:val="6FE15F17"/>
    <w:rsid w:val="708E7FE6"/>
    <w:rsid w:val="72FC62A9"/>
    <w:rsid w:val="76C3472D"/>
    <w:rsid w:val="773C1F76"/>
    <w:rsid w:val="7A4D4A97"/>
    <w:rsid w:val="7BCA6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99"/>
    <w:pPr>
      <w:ind w:firstLine="420"/>
    </w:pPr>
  </w:style>
  <w:style w:type="paragraph" w:styleId="3">
    <w:name w:val="Body Text Indent"/>
    <w:basedOn w:val="1"/>
    <w:qFormat/>
    <w:uiPriority w:val="99"/>
    <w:pPr>
      <w:ind w:firstLine="720" w:firstLineChars="200"/>
    </w:pPr>
    <w:rPr>
      <w:rFonts w:eastAsia="仿宋_GB2312"/>
      <w:sz w:val="36"/>
      <w:szCs w:val="36"/>
    </w:rPr>
  </w:style>
  <w:style w:type="paragraph" w:styleId="4">
    <w:name w:val="Balloon Text"/>
    <w:basedOn w:val="1"/>
    <w:link w:val="14"/>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bCs/>
    </w:rPr>
  </w:style>
  <w:style w:type="paragraph" w:styleId="11">
    <w:name w:val="List Paragraph"/>
    <w:basedOn w:val="1"/>
    <w:qFormat/>
    <w:uiPriority w:val="34"/>
    <w:pPr>
      <w:ind w:firstLine="420" w:firstLineChars="200"/>
    </w:pPr>
  </w:style>
  <w:style w:type="character" w:customStyle="1" w:styleId="12">
    <w:name w:val="页眉 Char"/>
    <w:basedOn w:val="9"/>
    <w:link w:val="6"/>
    <w:qFormat/>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批注框文本 Char"/>
    <w:basedOn w:val="9"/>
    <w:link w:val="4"/>
    <w:semiHidden/>
    <w:qFormat/>
    <w:uiPriority w:val="99"/>
    <w:rPr>
      <w:sz w:val="18"/>
      <w:szCs w:val="18"/>
    </w:rPr>
  </w:style>
  <w:style w:type="character" w:customStyle="1" w:styleId="15">
    <w:name w:val="不明显参考1"/>
    <w:basedOn w:val="9"/>
    <w:qFormat/>
    <w:uiPriority w:val="31"/>
    <w:rPr>
      <w:smallCaps/>
      <w:color w:val="C0504D" w:themeColor="accent2"/>
      <w:u w:val="single"/>
      <w14:textFill>
        <w14:solidFill>
          <w14:schemeClr w14:val="accent2"/>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7809926-7EE9-45B8-BD05-3E99A7C5EE92}">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6151</Words>
  <Characters>6444</Characters>
  <Lines>2</Lines>
  <Paragraphs>6</Paragraphs>
  <TotalTime>13</TotalTime>
  <ScaleCrop>false</ScaleCrop>
  <LinksUpToDate>false</LinksUpToDate>
  <CharactersWithSpaces>6469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2019-05-14T01:57:00Z</dcterms:created>
  <dc:creator>Administrator</dc:creator>
  <cp:lastModifiedBy>Administrator</cp:lastModifiedBy>
  <cp:lastPrinted>2019-06-26T01:20:00Z</cp:lastPrinted>
  <dcterms:modified xsi:type="dcterms:W3CDTF">2023-06-09T01:19:04Z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2D87AAC6E7264E8E88E3404F1DC73412</vt:lpwstr>
  </property>
</Properties>
</file>