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方正大标宋简体" w:hAnsi="方正大标宋简体" w:eastAsia="方正大标宋简体" w:cs="方正大标宋简体"/>
          <w:sz w:val="44"/>
          <w:szCs w:val="44"/>
        </w:rPr>
      </w:pPr>
      <w:r>
        <w:rPr>
          <w:rFonts w:hint="eastAsia" w:ascii="方正大标宋简体" w:hAnsi="方正大标宋简体" w:eastAsia="方正大标宋简体" w:cs="方正大标宋简体"/>
          <w:sz w:val="44"/>
          <w:szCs w:val="44"/>
        </w:rPr>
        <w:t>溆浦县住房和城乡建设局</w:t>
      </w:r>
    </w:p>
    <w:p>
      <w:pPr>
        <w:spacing w:line="640" w:lineRule="exact"/>
        <w:jc w:val="center"/>
        <w:rPr>
          <w:rFonts w:ascii="方正大标宋简体" w:hAnsi="方正大标宋简体" w:eastAsia="方正大标宋简体" w:cs="方正大标宋简体"/>
          <w:sz w:val="44"/>
          <w:szCs w:val="44"/>
        </w:rPr>
      </w:pPr>
      <w:r>
        <w:rPr>
          <w:rFonts w:hint="eastAsia" w:ascii="方正大标宋简体" w:hAnsi="方正大标宋简体" w:eastAsia="方正大标宋简体" w:cs="方正大标宋简体"/>
          <w:sz w:val="44"/>
          <w:szCs w:val="44"/>
        </w:rPr>
        <w:t>2022年整体支出绩效自评报告</w:t>
      </w:r>
    </w:p>
    <w:p>
      <w:pPr>
        <w:spacing w:line="580" w:lineRule="exact"/>
        <w:ind w:firstLine="640" w:firstLineChars="200"/>
        <w:rPr>
          <w:rFonts w:ascii="华文仿宋" w:hAnsi="华文仿宋" w:eastAsia="华文仿宋" w:cs="仿宋_GB2312"/>
          <w:sz w:val="32"/>
          <w:szCs w:val="32"/>
        </w:rPr>
      </w:pPr>
    </w:p>
    <w:p>
      <w:pPr>
        <w:spacing w:line="580" w:lineRule="exact"/>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根据县财政局《关于开展2022年部门整体支出绩效评价工作的通知》精神，我局对2022年度部门整体支出进行了全面的综合评价，现将有关情况汇报如下：</w:t>
      </w:r>
    </w:p>
    <w:p>
      <w:pPr>
        <w:shd w:val="clear" w:color="auto" w:fill="FFFFFF"/>
        <w:spacing w:line="640" w:lineRule="exact"/>
        <w:ind w:firstLine="640"/>
        <w:rPr>
          <w:rFonts w:ascii="黑体" w:hAnsi="黑体" w:eastAsia="黑体"/>
          <w:spacing w:val="-2"/>
          <w:sz w:val="32"/>
          <w:szCs w:val="32"/>
        </w:rPr>
      </w:pPr>
      <w:r>
        <w:rPr>
          <w:rFonts w:hint="eastAsia" w:ascii="华文仿宋" w:hAnsi="华文仿宋" w:eastAsia="华文仿宋" w:cs="黑体"/>
          <w:b/>
          <w:sz w:val="32"/>
          <w:szCs w:val="32"/>
        </w:rPr>
        <w:t>一、部门概况</w:t>
      </w:r>
    </w:p>
    <w:p>
      <w:pPr>
        <w:shd w:val="clear" w:color="auto" w:fill="FFFFFF"/>
        <w:spacing w:line="640" w:lineRule="exact"/>
        <w:ind w:firstLine="640"/>
        <w:rPr>
          <w:rFonts w:ascii="华文仿宋" w:hAnsi="华文仿宋" w:eastAsia="华文仿宋"/>
          <w:spacing w:val="-2"/>
          <w:sz w:val="32"/>
          <w:szCs w:val="21"/>
        </w:rPr>
      </w:pPr>
      <w:r>
        <w:rPr>
          <w:rFonts w:hint="eastAsia" w:ascii="华文仿宋" w:hAnsi="华文仿宋" w:eastAsia="华文仿宋"/>
          <w:spacing w:val="-2"/>
          <w:sz w:val="32"/>
          <w:szCs w:val="32"/>
        </w:rPr>
        <w:t>（一）部门基本情况</w:t>
      </w:r>
    </w:p>
    <w:p>
      <w:pPr>
        <w:widowControl/>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本单位有独立核算的二级机构6个，</w:t>
      </w:r>
      <w:r>
        <w:rPr>
          <w:rFonts w:hint="eastAsia" w:ascii="仿宋" w:hAnsi="仿宋" w:eastAsia="仿宋"/>
          <w:sz w:val="32"/>
          <w:szCs w:val="32"/>
        </w:rPr>
        <w:t>我局预算管理级次为县级，执行行政单位会计管理制度，报表为连续上报单户表</w:t>
      </w:r>
      <w:r>
        <w:rPr>
          <w:rFonts w:hint="eastAsia" w:ascii="仿宋" w:hAnsi="仿宋" w:eastAsia="仿宋"/>
          <w:kern w:val="0"/>
          <w:sz w:val="32"/>
          <w:szCs w:val="32"/>
        </w:rPr>
        <w:t>。</w:t>
      </w:r>
    </w:p>
    <w:p>
      <w:pPr>
        <w:widowControl/>
        <w:shd w:val="clear" w:color="auto" w:fill="FFFFFF"/>
        <w:ind w:left="160" w:leftChars="76" w:firstLine="480" w:firstLineChars="150"/>
        <w:jc w:val="left"/>
        <w:rPr>
          <w:rFonts w:ascii="仿宋" w:hAnsi="仿宋" w:eastAsia="仿宋" w:cs="宋体"/>
          <w:kern w:val="0"/>
          <w:sz w:val="32"/>
          <w:szCs w:val="32"/>
        </w:rPr>
      </w:pPr>
      <w:r>
        <w:rPr>
          <w:rFonts w:hint="eastAsia" w:ascii="仿宋" w:hAnsi="仿宋" w:eastAsia="仿宋" w:cs="仿宋_GB2312"/>
          <w:kern w:val="0"/>
          <w:sz w:val="32"/>
          <w:szCs w:val="32"/>
        </w:rPr>
        <w:t>本单位是行政单位，内设行政业务机构10个；</w:t>
      </w:r>
      <w:r>
        <w:rPr>
          <w:rFonts w:hint="eastAsia" w:ascii="仿宋" w:hAnsi="仿宋" w:eastAsia="仿宋"/>
          <w:kern w:val="0"/>
          <w:sz w:val="32"/>
          <w:szCs w:val="32"/>
        </w:rPr>
        <w:t>二级单位6个，溆浦县住房保障服务中心,溆浦县建筑工程事务中心,溆浦县建设工程质量安全监督站,溆浦县城市管理事务中心，溆浦县设计院，溆浦县荣欣村镇建设服务有限责任公司。</w:t>
      </w:r>
      <w:r>
        <w:rPr>
          <w:rFonts w:hint="eastAsia" w:ascii="仿宋" w:hAnsi="仿宋" w:eastAsia="仿宋" w:cs="宋体"/>
          <w:kern w:val="0"/>
          <w:sz w:val="32"/>
          <w:szCs w:val="32"/>
        </w:rPr>
        <w:t>我住建局行政机关在职25人，临时工7人，退休人员34人，二级单位差额拨款人员180人，共计246人。</w:t>
      </w:r>
    </w:p>
    <w:p>
      <w:pPr>
        <w:widowControl/>
        <w:shd w:val="clear" w:color="auto" w:fill="FFFFFF"/>
        <w:ind w:left="160" w:leftChars="76"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职能职责。承担牵头推进新型城镇化战略的日常工作，承担规范、监督和管理房地产开发市场的职责，负责全县住房保障工作，负责监督和管理全县建筑活动，承担全县房屋建筑和市政工程质量安全监管的职责， 负责建设工程初步设计审查工作，负责建设工程消防设计审核、消防验收、备案和抽查工作，负责国家、省、市、县重点建设项目施工阶段的综合管理、组织协调工作，负责全县城市基础设施的建设，负责城市基础设施配套费和防空地下室易地建设费的征收，承担规范和指导村镇建设的职责，指导省市重点镇的建设，负责农村危房改造工作，负责全县燃气建设管理工作。</w:t>
      </w:r>
    </w:p>
    <w:p>
      <w:pPr>
        <w:shd w:val="clear" w:color="auto" w:fill="FFFFFF"/>
        <w:ind w:firstLine="640"/>
        <w:rPr>
          <w:rFonts w:hint="eastAsia" w:ascii="华文仿宋" w:hAnsi="华文仿宋" w:eastAsia="华文仿宋"/>
          <w:spacing w:val="-2"/>
          <w:sz w:val="32"/>
          <w:szCs w:val="21"/>
          <w:lang w:eastAsia="zh-CN"/>
        </w:rPr>
      </w:pPr>
      <w:r>
        <w:rPr>
          <w:rFonts w:hint="eastAsia" w:ascii="华文仿宋" w:hAnsi="华文仿宋" w:eastAsia="华文仿宋"/>
          <w:color w:val="auto"/>
          <w:spacing w:val="-2"/>
          <w:sz w:val="32"/>
          <w:szCs w:val="32"/>
        </w:rPr>
        <w:t>（二）</w:t>
      </w:r>
      <w:r>
        <w:rPr>
          <w:rFonts w:hint="eastAsia" w:ascii="华文仿宋" w:hAnsi="华文仿宋" w:eastAsia="华文仿宋"/>
          <w:spacing w:val="-2"/>
          <w:sz w:val="32"/>
          <w:szCs w:val="32"/>
          <w:lang w:val="en-US" w:eastAsia="zh-CN"/>
        </w:rPr>
        <w:t>2022</w:t>
      </w:r>
      <w:r>
        <w:rPr>
          <w:rFonts w:hint="eastAsia" w:ascii="华文仿宋" w:hAnsi="华文仿宋" w:eastAsia="华文仿宋"/>
          <w:spacing w:val="-2"/>
          <w:sz w:val="32"/>
          <w:szCs w:val="32"/>
          <w:lang w:eastAsia="zh-CN"/>
        </w:rPr>
        <w:t>年整体支出规模</w:t>
      </w:r>
      <w:r>
        <w:rPr>
          <w:rFonts w:hint="eastAsia" w:ascii="华文仿宋" w:hAnsi="华文仿宋" w:eastAsia="华文仿宋"/>
          <w:spacing w:val="-2"/>
          <w:sz w:val="32"/>
          <w:szCs w:val="32"/>
          <w:lang w:val="en-US" w:eastAsia="zh-CN"/>
        </w:rPr>
        <w:t>22804.52万元，其中</w:t>
      </w:r>
      <w:r>
        <w:rPr>
          <w:rFonts w:hint="eastAsia" w:ascii="华文仿宋" w:hAnsi="华文仿宋" w:eastAsia="华文仿宋" w:cs="仿宋_GB2312"/>
          <w:color w:val="auto"/>
          <w:kern w:val="0"/>
          <w:sz w:val="32"/>
          <w:szCs w:val="32"/>
          <w:highlight w:val="none"/>
        </w:rPr>
        <w:t>基本</w:t>
      </w:r>
      <w:r>
        <w:rPr>
          <w:rFonts w:hint="eastAsia" w:ascii="华文仿宋" w:hAnsi="华文仿宋" w:eastAsia="华文仿宋" w:cs="仿宋_GB2312"/>
          <w:kern w:val="0"/>
          <w:sz w:val="32"/>
          <w:szCs w:val="32"/>
        </w:rPr>
        <w:t>支出1464.22万元</w:t>
      </w:r>
      <w:r>
        <w:rPr>
          <w:rFonts w:hint="eastAsia" w:ascii="华文仿宋" w:hAnsi="华文仿宋" w:eastAsia="华文仿宋" w:cs="仿宋_GB2312"/>
          <w:kern w:val="0"/>
          <w:sz w:val="32"/>
          <w:szCs w:val="32"/>
          <w:lang w:eastAsia="zh-CN"/>
        </w:rPr>
        <w:t>、</w:t>
      </w:r>
      <w:r>
        <w:rPr>
          <w:rFonts w:hint="eastAsia" w:ascii="华文仿宋" w:hAnsi="华文仿宋" w:eastAsia="华文仿宋"/>
          <w:sz w:val="32"/>
          <w:szCs w:val="32"/>
        </w:rPr>
        <w:t>项目支出</w:t>
      </w:r>
      <w:r>
        <w:rPr>
          <w:rFonts w:hint="eastAsia" w:ascii="仿宋" w:hAnsi="仿宋" w:eastAsia="仿宋"/>
          <w:sz w:val="32"/>
          <w:szCs w:val="32"/>
        </w:rPr>
        <w:t>21340.3</w:t>
      </w:r>
      <w:r>
        <w:rPr>
          <w:rFonts w:hint="eastAsia" w:ascii="华文仿宋" w:hAnsi="华文仿宋" w:eastAsia="华文仿宋"/>
          <w:sz w:val="32"/>
          <w:szCs w:val="32"/>
        </w:rPr>
        <w:t>万元</w:t>
      </w:r>
      <w:r>
        <w:rPr>
          <w:rFonts w:hint="eastAsia" w:ascii="华文仿宋" w:hAnsi="华文仿宋" w:eastAsia="华文仿宋"/>
          <w:sz w:val="32"/>
          <w:szCs w:val="32"/>
          <w:lang w:eastAsia="zh-CN"/>
        </w:rPr>
        <w:t>。</w:t>
      </w:r>
      <w:r>
        <w:rPr>
          <w:rFonts w:hint="eastAsia" w:ascii="华文仿宋" w:hAnsi="华文仿宋" w:eastAsia="华文仿宋"/>
          <w:color w:val="auto"/>
          <w:spacing w:val="-2"/>
          <w:sz w:val="32"/>
          <w:szCs w:val="32"/>
        </w:rPr>
        <w:t>使用方向和主要内容、涉及</w:t>
      </w:r>
      <w:r>
        <w:rPr>
          <w:rFonts w:hint="eastAsia" w:ascii="华文仿宋" w:hAnsi="华文仿宋" w:eastAsia="华文仿宋"/>
          <w:spacing w:val="-2"/>
          <w:sz w:val="32"/>
          <w:szCs w:val="32"/>
        </w:rPr>
        <w:t>范围</w:t>
      </w:r>
      <w:r>
        <w:rPr>
          <w:rFonts w:hint="eastAsia" w:ascii="华文仿宋" w:hAnsi="华文仿宋" w:eastAsia="华文仿宋"/>
          <w:spacing w:val="-2"/>
          <w:sz w:val="32"/>
          <w:szCs w:val="32"/>
          <w:lang w:eastAsia="zh-CN"/>
        </w:rPr>
        <w:t>如下：</w:t>
      </w:r>
    </w:p>
    <w:p>
      <w:pPr>
        <w:ind w:firstLine="640" w:firstLineChars="200"/>
        <w:rPr>
          <w:rFonts w:ascii="华文仿宋" w:hAnsi="华文仿宋" w:eastAsia="华文仿宋"/>
          <w:sz w:val="32"/>
          <w:szCs w:val="32"/>
        </w:rPr>
      </w:pPr>
      <w:r>
        <w:rPr>
          <w:rFonts w:hint="eastAsia" w:ascii="华文仿宋" w:hAnsi="华文仿宋" w:eastAsia="华文仿宋"/>
          <w:sz w:val="32"/>
          <w:szCs w:val="32"/>
        </w:rPr>
        <w:t>1、保证人员经费，单位的正常运转。</w:t>
      </w:r>
    </w:p>
    <w:p>
      <w:pPr>
        <w:ind w:firstLine="640" w:firstLineChars="200"/>
        <w:rPr>
          <w:rFonts w:ascii="华文仿宋" w:hAnsi="华文仿宋" w:eastAsia="华文仿宋"/>
          <w:sz w:val="32"/>
          <w:szCs w:val="32"/>
        </w:rPr>
      </w:pPr>
      <w:r>
        <w:rPr>
          <w:rFonts w:hint="eastAsia" w:ascii="华文仿宋" w:hAnsi="华文仿宋" w:eastAsia="华文仿宋"/>
          <w:sz w:val="32"/>
          <w:szCs w:val="32"/>
        </w:rPr>
        <w:t>2、监督和管理全县建筑活动。</w:t>
      </w:r>
    </w:p>
    <w:p>
      <w:pPr>
        <w:ind w:firstLine="640" w:firstLineChars="200"/>
        <w:rPr>
          <w:rFonts w:ascii="华文仿宋" w:hAnsi="华文仿宋" w:eastAsia="华文仿宋"/>
          <w:sz w:val="32"/>
          <w:szCs w:val="32"/>
        </w:rPr>
      </w:pPr>
      <w:r>
        <w:rPr>
          <w:rFonts w:hint="eastAsia" w:ascii="华文仿宋" w:hAnsi="华文仿宋" w:eastAsia="华文仿宋"/>
          <w:sz w:val="32"/>
          <w:szCs w:val="32"/>
        </w:rPr>
        <w:t>3、搞好县城市基础设施的建设。</w:t>
      </w:r>
    </w:p>
    <w:p>
      <w:pPr>
        <w:ind w:firstLine="640" w:firstLineChars="200"/>
        <w:rPr>
          <w:rFonts w:ascii="华文仿宋" w:hAnsi="华文仿宋" w:eastAsia="华文仿宋"/>
          <w:sz w:val="32"/>
          <w:szCs w:val="32"/>
        </w:rPr>
      </w:pPr>
      <w:r>
        <w:rPr>
          <w:rFonts w:hint="eastAsia" w:ascii="华文仿宋" w:hAnsi="华文仿宋" w:eastAsia="华文仿宋"/>
          <w:sz w:val="32"/>
          <w:szCs w:val="32"/>
        </w:rPr>
        <w:t xml:space="preserve">4、承担规范和指导村镇建设的职责,落实国家、省市、县有关村庄和小城镇建设政策并指导实施;指导农村住房建设,指导小城镇和村庄人居生态环境的改善相关工作,指导省市重点镇的建设;负责农村危房改造工作。 </w:t>
      </w:r>
    </w:p>
    <w:p>
      <w:pPr>
        <w:ind w:firstLine="640" w:firstLineChars="200"/>
        <w:rPr>
          <w:rFonts w:ascii="华文仿宋" w:hAnsi="华文仿宋" w:eastAsia="华文仿宋"/>
          <w:sz w:val="32"/>
          <w:szCs w:val="32"/>
        </w:rPr>
      </w:pPr>
      <w:r>
        <w:rPr>
          <w:rFonts w:hint="eastAsia" w:ascii="华文仿宋" w:hAnsi="华文仿宋" w:eastAsia="华文仿宋"/>
          <w:sz w:val="32"/>
          <w:szCs w:val="32"/>
        </w:rPr>
        <w:t>5、负责全县燃气建设管理工作;负责制定燃气发展战略、中长期规划和年度计划,并组织,指导,监督实施;负责燃气经营企业网点的资质管理。</w:t>
      </w:r>
    </w:p>
    <w:p>
      <w:pPr>
        <w:ind w:firstLine="640" w:firstLineChars="200"/>
        <w:rPr>
          <w:rFonts w:ascii="华文仿宋" w:hAnsi="华文仿宋" w:eastAsia="华文仿宋"/>
          <w:sz w:val="32"/>
          <w:szCs w:val="32"/>
        </w:rPr>
      </w:pPr>
      <w:r>
        <w:rPr>
          <w:rFonts w:hint="eastAsia" w:ascii="华文仿宋" w:hAnsi="华文仿宋" w:eastAsia="华文仿宋"/>
          <w:sz w:val="32"/>
          <w:szCs w:val="32"/>
        </w:rPr>
        <w:t>6、完成县委、县人民政府交办的其他任务。</w:t>
      </w:r>
    </w:p>
    <w:p>
      <w:pPr>
        <w:shd w:val="clear" w:color="auto" w:fill="FFFFFF"/>
        <w:spacing w:line="640" w:lineRule="exact"/>
        <w:ind w:firstLine="640"/>
        <w:rPr>
          <w:rFonts w:ascii="黑体" w:hAnsi="黑体" w:eastAsia="黑体"/>
          <w:spacing w:val="-2"/>
          <w:sz w:val="32"/>
          <w:szCs w:val="32"/>
        </w:rPr>
      </w:pPr>
      <w:r>
        <w:rPr>
          <w:rFonts w:hint="eastAsia" w:ascii="华文仿宋" w:hAnsi="华文仿宋" w:eastAsia="华文仿宋" w:cs="黑体"/>
          <w:b/>
          <w:sz w:val="32"/>
          <w:szCs w:val="32"/>
        </w:rPr>
        <w:t>二、部门整体支出管理及使用情况</w:t>
      </w:r>
    </w:p>
    <w:p>
      <w:pPr>
        <w:spacing w:line="610" w:lineRule="exact"/>
        <w:ind w:firstLine="640" w:firstLineChars="200"/>
        <w:rPr>
          <w:rFonts w:hint="default" w:ascii="华文仿宋" w:hAnsi="华文仿宋" w:eastAsia="华文仿宋" w:cs="仿宋_GB2312"/>
          <w:kern w:val="0"/>
          <w:sz w:val="32"/>
          <w:szCs w:val="32"/>
          <w:lang w:val="en-US" w:eastAsia="zh-CN"/>
        </w:rPr>
      </w:pPr>
      <w:r>
        <w:rPr>
          <w:rFonts w:hint="eastAsia" w:ascii="华文仿宋" w:hAnsi="华文仿宋" w:eastAsia="华文仿宋" w:cs="仿宋_GB2312"/>
          <w:color w:val="auto"/>
          <w:kern w:val="0"/>
          <w:sz w:val="32"/>
          <w:szCs w:val="32"/>
          <w:highlight w:val="none"/>
        </w:rPr>
        <w:t>1.基本</w:t>
      </w:r>
      <w:r>
        <w:rPr>
          <w:rFonts w:hint="eastAsia" w:ascii="华文仿宋" w:hAnsi="华文仿宋" w:eastAsia="华文仿宋" w:cs="仿宋_GB2312"/>
          <w:kern w:val="0"/>
          <w:sz w:val="32"/>
          <w:szCs w:val="32"/>
        </w:rPr>
        <w:t>支出1464.22万元，占比6.7%。①工资福利支出761.19万元，占比3.5%，比上年减少233.31万元，主要是建筑工程事务服务中心的工资已由财政承担。②商品服务支出635.13万元，占比2.9%，比上年减少4.72万元。其中办公费104.14万元、印刷费73.3万元、咨询费2.8万元、水费1万元、电费8.29万元、邮电费1.25万元、物业管理费4.3万元、差旅费81.98万元、维修费6.68万元、会议费2.4万元、公务接待1.11万元、劳务费14万元、委托业务费92万元、工会费26.2万元、福利费7.4万元、其他交通运输费26.05万元、其他商品和服务费182.23万元。（3）对个人和家庭的补助67.13万元，占比0.3%，（4）办公设备购置0.77万元。</w:t>
      </w:r>
      <w:r>
        <w:rPr>
          <w:rFonts w:hint="eastAsia" w:ascii="华文仿宋" w:hAnsi="华文仿宋" w:eastAsia="华文仿宋" w:cs="仿宋_GB2312"/>
          <w:kern w:val="0"/>
          <w:sz w:val="32"/>
          <w:szCs w:val="32"/>
          <w:lang w:val="en-US" w:eastAsia="zh-CN"/>
        </w:rPr>
        <w:t xml:space="preserve">       </w:t>
      </w:r>
      <w:r>
        <w:rPr>
          <w:rFonts w:hint="eastAsia" w:ascii="华文仿宋" w:hAnsi="华文仿宋" w:eastAsia="华文仿宋" w:cs="仿宋_GB2312"/>
          <w:color w:val="auto"/>
          <w:kern w:val="0"/>
          <w:sz w:val="32"/>
          <w:szCs w:val="32"/>
          <w:lang w:eastAsia="zh-CN"/>
        </w:rPr>
        <w:t>三公经费</w:t>
      </w:r>
      <w:r>
        <w:rPr>
          <w:rFonts w:hint="eastAsia" w:ascii="华文仿宋" w:hAnsi="华文仿宋" w:eastAsia="华文仿宋" w:cs="仿宋_GB2312"/>
          <w:color w:val="auto"/>
          <w:kern w:val="0"/>
          <w:sz w:val="32"/>
          <w:szCs w:val="32"/>
          <w:lang w:val="en-US" w:eastAsia="zh-CN"/>
        </w:rPr>
        <w:t>1.1万元，其中招待费1.1万元。</w:t>
      </w:r>
    </w:p>
    <w:p>
      <w:pPr>
        <w:shd w:val="clear" w:color="auto" w:fill="FFFFFF"/>
        <w:spacing w:line="640" w:lineRule="exact"/>
        <w:ind w:firstLine="643"/>
        <w:rPr>
          <w:rFonts w:ascii="楷体_GB2312" w:hAnsi="楷体_GB2312" w:eastAsia="楷体_GB2312" w:cs="楷体_GB2312"/>
          <w:b/>
          <w:color w:val="000000" w:themeColor="text1"/>
          <w:spacing w:val="-2"/>
          <w:sz w:val="32"/>
          <w:szCs w:val="32"/>
        </w:rPr>
      </w:pPr>
      <w:r>
        <w:rPr>
          <w:rFonts w:hint="eastAsia" w:ascii="楷体_GB2312" w:hAnsi="楷体_GB2312" w:eastAsia="楷体_GB2312" w:cs="楷体_GB2312"/>
          <w:b/>
          <w:color w:val="000000" w:themeColor="text1"/>
          <w:spacing w:val="-2"/>
          <w:sz w:val="32"/>
          <w:szCs w:val="32"/>
        </w:rPr>
        <w:t>（二）专项支出</w:t>
      </w:r>
    </w:p>
    <w:p>
      <w:pPr>
        <w:shd w:val="clear" w:color="auto" w:fill="FFFFFF"/>
        <w:spacing w:line="640" w:lineRule="exact"/>
        <w:ind w:firstLine="640"/>
        <w:rPr>
          <w:rFonts w:ascii="仿宋_GB2312" w:hAnsi="仿宋" w:eastAsia="仿宋_GB2312"/>
          <w:spacing w:val="-2"/>
          <w:sz w:val="32"/>
          <w:szCs w:val="21"/>
        </w:rPr>
      </w:pPr>
      <w:r>
        <w:rPr>
          <w:rFonts w:hint="eastAsia" w:ascii="仿宋" w:hAnsi="仿宋" w:eastAsia="仿宋"/>
          <w:sz w:val="32"/>
          <w:szCs w:val="32"/>
        </w:rPr>
        <w:t>1、</w:t>
      </w:r>
      <w:r>
        <w:rPr>
          <w:rFonts w:hint="eastAsia" w:ascii="仿宋_GB2312" w:hAnsi="仿宋" w:eastAsia="仿宋_GB2312"/>
          <w:spacing w:val="-2"/>
          <w:sz w:val="32"/>
          <w:szCs w:val="32"/>
        </w:rPr>
        <w:t>专项资金（包括财政资金、自筹资金等）安排落实、总投入等情况分析。</w:t>
      </w:r>
    </w:p>
    <w:p>
      <w:pPr>
        <w:ind w:firstLine="640" w:firstLineChars="200"/>
        <w:rPr>
          <w:rFonts w:ascii="仿宋" w:hAnsi="仿宋" w:eastAsia="仿宋" w:cs="宋体"/>
          <w:bCs/>
          <w:color w:val="000000"/>
          <w:kern w:val="0"/>
          <w:sz w:val="32"/>
          <w:szCs w:val="32"/>
        </w:rPr>
      </w:pPr>
      <w:r>
        <w:rPr>
          <w:rFonts w:hint="eastAsia" w:ascii="仿宋" w:hAnsi="仿宋" w:eastAsia="仿宋"/>
          <w:sz w:val="32"/>
          <w:szCs w:val="32"/>
        </w:rPr>
        <w:t>项目资金到位情况：2022年，项目资金共到位21340.3万元。</w:t>
      </w:r>
      <w:r>
        <w:rPr>
          <w:rFonts w:hint="eastAsia" w:ascii="华文仿宋" w:hAnsi="华文仿宋" w:eastAsia="华文仿宋"/>
          <w:sz w:val="32"/>
          <w:szCs w:val="32"/>
        </w:rPr>
        <w:t>项目支出</w:t>
      </w:r>
      <w:r>
        <w:rPr>
          <w:rFonts w:hint="eastAsia" w:ascii="仿宋" w:hAnsi="仿宋" w:eastAsia="仿宋"/>
          <w:sz w:val="32"/>
          <w:szCs w:val="32"/>
        </w:rPr>
        <w:t>21340.3</w:t>
      </w:r>
      <w:r>
        <w:rPr>
          <w:rFonts w:hint="eastAsia" w:ascii="华文仿宋" w:hAnsi="华文仿宋" w:eastAsia="华文仿宋"/>
          <w:sz w:val="32"/>
          <w:szCs w:val="32"/>
        </w:rPr>
        <w:t>万元，占总支出的93.3%，包括</w:t>
      </w:r>
    </w:p>
    <w:p>
      <w:pPr>
        <w:widowControl/>
        <w:rPr>
          <w:rFonts w:ascii="华文仿宋" w:hAnsi="华文仿宋" w:eastAsia="华文仿宋" w:cs="Arial"/>
          <w:color w:val="000000"/>
          <w:kern w:val="0"/>
          <w:sz w:val="32"/>
          <w:szCs w:val="32"/>
        </w:rPr>
      </w:pPr>
      <w:r>
        <w:rPr>
          <w:rFonts w:hint="eastAsia" w:ascii="华文仿宋" w:hAnsi="华文仿宋" w:eastAsia="华文仿宋" w:cs="Arial"/>
          <w:color w:val="000000"/>
          <w:kern w:val="0"/>
          <w:sz w:val="32"/>
          <w:szCs w:val="32"/>
        </w:rPr>
        <w:t>黑臭水体</w:t>
      </w:r>
      <w:r>
        <w:rPr>
          <w:rFonts w:hint="eastAsia" w:ascii="华文仿宋" w:hAnsi="华文仿宋" w:eastAsia="华文仿宋" w:cs="宋体"/>
          <w:bCs/>
          <w:color w:val="000000"/>
          <w:kern w:val="0"/>
          <w:sz w:val="32"/>
          <w:szCs w:val="32"/>
        </w:rPr>
        <w:t>治理</w:t>
      </w:r>
      <w:r>
        <w:rPr>
          <w:rFonts w:hint="eastAsia" w:ascii="华文仿宋" w:hAnsi="华文仿宋" w:eastAsia="华文仿宋" w:cs="Arial"/>
          <w:color w:val="000000"/>
          <w:kern w:val="0"/>
          <w:sz w:val="32"/>
          <w:szCs w:val="32"/>
        </w:rPr>
        <w:t>404.7</w:t>
      </w:r>
      <w:r>
        <w:rPr>
          <w:rFonts w:hint="eastAsia" w:ascii="华文仿宋" w:hAnsi="华文仿宋" w:eastAsia="华文仿宋" w:cs="宋体"/>
          <w:bCs/>
          <w:color w:val="000000"/>
          <w:kern w:val="0"/>
          <w:sz w:val="32"/>
          <w:szCs w:val="32"/>
        </w:rPr>
        <w:t>万元、低庄镇污水处理厂466.3万元、</w:t>
      </w:r>
      <w:r>
        <w:rPr>
          <w:rFonts w:hint="eastAsia" w:ascii="华文仿宋" w:hAnsi="华文仿宋" w:eastAsia="华文仿宋" w:cs="Arial"/>
          <w:color w:val="000000"/>
          <w:kern w:val="0"/>
          <w:sz w:val="32"/>
          <w:szCs w:val="32"/>
        </w:rPr>
        <w:t>传统村落保护10</w:t>
      </w:r>
      <w:r>
        <w:rPr>
          <w:rFonts w:hint="eastAsia" w:ascii="华文仿宋" w:hAnsi="华文仿宋" w:eastAsia="华文仿宋" w:cs="宋体"/>
          <w:bCs/>
          <w:color w:val="000000"/>
          <w:kern w:val="0"/>
          <w:sz w:val="32"/>
          <w:szCs w:val="32"/>
        </w:rPr>
        <w:t>万元、</w:t>
      </w:r>
      <w:r>
        <w:rPr>
          <w:rFonts w:hint="eastAsia" w:ascii="华文仿宋" w:hAnsi="华文仿宋" w:eastAsia="华文仿宋" w:cs="Arial"/>
          <w:color w:val="000000"/>
          <w:kern w:val="0"/>
          <w:sz w:val="32"/>
          <w:szCs w:val="32"/>
          <w:highlight w:val="none"/>
        </w:rPr>
        <w:t>棚户区改扩翻项目404.14万元</w:t>
      </w:r>
      <w:r>
        <w:rPr>
          <w:rFonts w:hint="eastAsia" w:ascii="华文仿宋" w:hAnsi="华文仿宋" w:eastAsia="华文仿宋" w:cs="Arial"/>
          <w:color w:val="000000"/>
          <w:kern w:val="0"/>
          <w:sz w:val="32"/>
          <w:szCs w:val="32"/>
        </w:rPr>
        <w:t>、夏家溪棚户区改造1000万元、屈原大道一期165万元、纬五路建设70万元、传统村落保护267.15万元、危改资金148万元、基础小项目</w:t>
      </w:r>
      <w:r>
        <w:rPr>
          <w:rFonts w:hint="eastAsia" w:ascii="华文仿宋" w:hAnsi="华文仿宋" w:eastAsia="华文仿宋" w:cs="Arial"/>
          <w:color w:val="000000"/>
          <w:kern w:val="0"/>
          <w:sz w:val="32"/>
          <w:szCs w:val="32"/>
          <w:lang w:val="en-US" w:eastAsia="zh-CN"/>
        </w:rPr>
        <w:t>457.03</w:t>
      </w:r>
      <w:r>
        <w:rPr>
          <w:rFonts w:hint="eastAsia" w:ascii="华文仿宋" w:hAnsi="华文仿宋" w:eastAsia="华文仿宋" w:cs="Arial"/>
          <w:color w:val="000000"/>
          <w:kern w:val="0"/>
          <w:sz w:val="32"/>
          <w:szCs w:val="32"/>
        </w:rPr>
        <w:t>万元、乡镇污水处理设施及配套1354.5万元、危房改造1015万元、屈原大道二期12400万元、棚户区改造（城中区）1300万元、2021年老旧小区改造1678.49万元、垃圾发电厂200万元。</w:t>
      </w:r>
    </w:p>
    <w:p>
      <w:pPr>
        <w:shd w:val="clear" w:color="auto" w:fill="FFFFFF"/>
        <w:spacing w:line="640" w:lineRule="exact"/>
        <w:ind w:firstLine="640"/>
        <w:rPr>
          <w:rFonts w:ascii="仿宋_GB2312" w:hAnsi="仿宋" w:eastAsia="仿宋_GB2312"/>
          <w:spacing w:val="-2"/>
          <w:sz w:val="32"/>
          <w:szCs w:val="21"/>
        </w:rPr>
      </w:pPr>
      <w:r>
        <w:rPr>
          <w:rFonts w:hint="eastAsia" w:ascii="仿宋" w:hAnsi="仿宋" w:eastAsia="仿宋"/>
          <w:sz w:val="32"/>
          <w:szCs w:val="32"/>
        </w:rPr>
        <w:t>2、</w:t>
      </w:r>
      <w:r>
        <w:rPr>
          <w:rFonts w:hint="eastAsia" w:ascii="仿宋_GB2312" w:hAnsi="仿宋" w:eastAsia="仿宋_GB2312"/>
          <w:spacing w:val="-2"/>
          <w:sz w:val="32"/>
          <w:szCs w:val="32"/>
        </w:rPr>
        <w:t>专项资金（主要指财政资金）实际使用情况分析。</w:t>
      </w:r>
    </w:p>
    <w:p>
      <w:pPr>
        <w:ind w:firstLine="640" w:firstLineChars="200"/>
        <w:rPr>
          <w:rFonts w:ascii="仿宋" w:hAnsi="仿宋" w:eastAsia="仿宋"/>
          <w:sz w:val="32"/>
          <w:szCs w:val="32"/>
        </w:rPr>
      </w:pPr>
      <w:r>
        <w:rPr>
          <w:rFonts w:hint="eastAsia" w:ascii="仿宋" w:hAnsi="仿宋" w:eastAsia="仿宋"/>
          <w:sz w:val="32"/>
          <w:szCs w:val="32"/>
        </w:rPr>
        <w:t>项目资金使用情况：项目所有资金按照施工合同中质保条款要求进行使用。2022年，项目资金已全部支付到位。</w:t>
      </w:r>
    </w:p>
    <w:p>
      <w:pPr>
        <w:shd w:val="clear" w:color="auto" w:fill="FFFFFF"/>
        <w:spacing w:line="640" w:lineRule="exact"/>
        <w:ind w:firstLine="640"/>
        <w:rPr>
          <w:rFonts w:ascii="仿宋_GB2312" w:hAnsi="仿宋" w:eastAsia="仿宋_GB2312"/>
          <w:spacing w:val="-2"/>
          <w:sz w:val="32"/>
          <w:szCs w:val="21"/>
        </w:rPr>
      </w:pPr>
      <w:r>
        <w:rPr>
          <w:rFonts w:hint="eastAsia" w:ascii="仿宋" w:hAnsi="仿宋" w:eastAsia="仿宋"/>
          <w:sz w:val="32"/>
          <w:szCs w:val="32"/>
        </w:rPr>
        <w:t>3、</w:t>
      </w:r>
      <w:r>
        <w:rPr>
          <w:rFonts w:hint="eastAsia" w:ascii="仿宋_GB2312" w:hAnsi="仿宋" w:eastAsia="仿宋_GB2312"/>
          <w:spacing w:val="-2"/>
          <w:sz w:val="32"/>
          <w:szCs w:val="32"/>
        </w:rPr>
        <w:t>专项资金管理情况分析。</w:t>
      </w:r>
    </w:p>
    <w:p>
      <w:pPr>
        <w:shd w:val="clear" w:color="auto" w:fill="FFFFFF"/>
        <w:spacing w:line="640" w:lineRule="exact"/>
        <w:ind w:firstLine="643"/>
        <w:rPr>
          <w:rFonts w:ascii="楷体_GB2312" w:hAnsi="楷体_GB2312" w:eastAsia="楷体_GB2312" w:cs="楷体_GB2312"/>
          <w:b/>
          <w:spacing w:val="-2"/>
          <w:sz w:val="32"/>
          <w:szCs w:val="32"/>
        </w:rPr>
      </w:pPr>
      <w:r>
        <w:rPr>
          <w:rFonts w:hint="eastAsia" w:ascii="仿宋" w:hAnsi="仿宋" w:eastAsia="仿宋"/>
          <w:sz w:val="32"/>
          <w:szCs w:val="32"/>
        </w:rPr>
        <w:t>项目管理情况：县住房和城乡建设局按照施工合同质保要求相关内容，由相关职能股室采取定期或不定期的方式，进行督促指导和检查验收，并实行谁签字、谁负责的责任追究制，确保项目质保期内的管理和质量。</w:t>
      </w:r>
    </w:p>
    <w:p>
      <w:pPr>
        <w:shd w:val="clear" w:color="auto" w:fill="FFFFFF"/>
        <w:spacing w:line="640" w:lineRule="exact"/>
        <w:ind w:firstLine="640"/>
        <w:rPr>
          <w:rFonts w:ascii="华文仿宋" w:hAnsi="华文仿宋" w:eastAsia="华文仿宋" w:cs="黑体"/>
          <w:b/>
          <w:sz w:val="32"/>
          <w:szCs w:val="32"/>
        </w:rPr>
      </w:pPr>
      <w:r>
        <w:rPr>
          <w:rFonts w:hint="eastAsia" w:ascii="华文仿宋" w:hAnsi="华文仿宋" w:eastAsia="华文仿宋" w:cs="黑体"/>
          <w:b/>
          <w:sz w:val="32"/>
          <w:szCs w:val="32"/>
        </w:rPr>
        <w:t>三、部门专项组织实施情况</w:t>
      </w:r>
    </w:p>
    <w:p>
      <w:pPr>
        <w:ind w:firstLine="632" w:firstLineChars="200"/>
        <w:rPr>
          <w:rFonts w:hint="eastAsia" w:ascii="仿宋" w:hAnsi="仿宋" w:eastAsia="仿宋"/>
          <w:sz w:val="32"/>
          <w:szCs w:val="32"/>
        </w:rPr>
      </w:pPr>
      <w:bookmarkStart w:id="0" w:name="_Toc440202227"/>
      <w:r>
        <w:rPr>
          <w:rFonts w:hint="eastAsia" w:ascii="华文仿宋" w:hAnsi="华文仿宋" w:eastAsia="华文仿宋"/>
          <w:spacing w:val="-2"/>
          <w:sz w:val="32"/>
          <w:szCs w:val="32"/>
        </w:rPr>
        <w:t>（一）专项组织情况分析，</w:t>
      </w:r>
      <w:r>
        <w:rPr>
          <w:rFonts w:hint="eastAsia" w:ascii="华文仿宋" w:hAnsi="华文仿宋" w:eastAsia="华文仿宋"/>
          <w:color w:val="auto"/>
          <w:spacing w:val="-2"/>
          <w:sz w:val="32"/>
          <w:szCs w:val="32"/>
        </w:rPr>
        <w:t>主要包括项目招投标、调整、竣工验收等情况。</w:t>
      </w:r>
      <w:r>
        <w:rPr>
          <w:rFonts w:hint="eastAsia" w:ascii="华文仿宋" w:hAnsi="华文仿宋" w:eastAsia="华文仿宋"/>
          <w:color w:val="auto"/>
          <w:spacing w:val="-2"/>
          <w:sz w:val="32"/>
          <w:szCs w:val="32"/>
          <w:lang w:val="en-US" w:eastAsia="zh-CN"/>
        </w:rPr>
        <w:t>2022年招投标项目16项，</w:t>
      </w:r>
      <w:r>
        <w:rPr>
          <w:rFonts w:hint="eastAsia" w:ascii="仿宋" w:hAnsi="仿宋" w:eastAsia="仿宋"/>
          <w:sz w:val="32"/>
          <w:szCs w:val="32"/>
        </w:rPr>
        <w:t>由县住房和城乡建设局负责组织，通过公开招投标的方式，交由专业资质的公司实施。县住房和城乡建设局按照施工合同相关内容，由相关职能股室采取定期或不定期的方式，进行督促指导和检查验收，并实行谁签字、谁负责的责任追究制，确保项目管理和建设质量。</w:t>
      </w:r>
    </w:p>
    <w:p>
      <w:pPr>
        <w:ind w:firstLine="640" w:firstLineChars="200"/>
        <w:rPr>
          <w:rFonts w:hint="default" w:ascii="华文仿宋" w:hAnsi="华文仿宋" w:eastAsia="华文仿宋"/>
          <w:color w:val="FF0000"/>
          <w:spacing w:val="-2"/>
          <w:sz w:val="32"/>
          <w:szCs w:val="32"/>
          <w:lang w:val="en-US" w:eastAsia="zh-CN"/>
        </w:rPr>
      </w:pPr>
      <w:r>
        <w:rPr>
          <w:rFonts w:hint="eastAsia" w:ascii="仿宋" w:hAnsi="仿宋" w:eastAsia="仿宋"/>
          <w:sz w:val="32"/>
          <w:szCs w:val="32"/>
        </w:rPr>
        <w:t>项目各明细分项工作均按照《施工合同》的约定有条不紊地开展，项目质量均达到建设标准，完成项目竣工验收，依照《施工合同》要求，进行结算。</w:t>
      </w:r>
    </w:p>
    <w:p>
      <w:pPr>
        <w:shd w:val="clear" w:color="auto" w:fill="FFFFFF"/>
        <w:spacing w:line="640" w:lineRule="exact"/>
        <w:ind w:firstLine="640"/>
        <w:rPr>
          <w:rFonts w:ascii="仿宋_GB2312" w:hAnsi="仿宋" w:eastAsia="仿宋_GB2312"/>
          <w:spacing w:val="-2"/>
          <w:sz w:val="32"/>
          <w:szCs w:val="21"/>
        </w:rPr>
      </w:pPr>
      <w:r>
        <w:rPr>
          <w:rFonts w:hint="eastAsia" w:ascii="仿宋_GB2312" w:hAnsi="仿宋" w:eastAsia="仿宋_GB2312"/>
          <w:spacing w:val="-2"/>
          <w:sz w:val="32"/>
          <w:szCs w:val="32"/>
        </w:rPr>
        <w:t>（二）专项管理情况分析。</w:t>
      </w:r>
    </w:p>
    <w:bookmarkEnd w:id="0"/>
    <w:p>
      <w:pPr>
        <w:spacing w:line="600" w:lineRule="exact"/>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以建设宜居、绿色、韧性、智慧、人文城市为目标，不断提升城市建设管理水平，促进城市高质量发展。</w:t>
      </w:r>
    </w:p>
    <w:p>
      <w:pPr>
        <w:spacing w:line="600" w:lineRule="exact"/>
        <w:ind w:firstLine="640" w:firstLineChars="200"/>
        <w:rPr>
          <w:rFonts w:ascii="华文仿宋" w:hAnsi="华文仿宋" w:eastAsia="华文仿宋" w:cs="仿宋_GB2312"/>
          <w:bCs/>
          <w:color w:val="000000"/>
          <w:sz w:val="32"/>
          <w:szCs w:val="32"/>
        </w:rPr>
      </w:pPr>
      <w:r>
        <w:rPr>
          <w:rFonts w:hint="eastAsia" w:ascii="华文仿宋" w:hAnsi="华文仿宋" w:eastAsia="华文仿宋" w:cs="仿宋_GB2312"/>
          <w:bCs/>
          <w:color w:val="000000"/>
          <w:sz w:val="32"/>
          <w:szCs w:val="32"/>
        </w:rPr>
        <w:t>一是持续优化提升市政路网。统筹推进“断头路”建设，启动并完成纬八路（农商银苑段）、纬五路（经十路段）、开发路南段（玉潭学校段）等道路建设，启动一中至瓷厂等断头路建设。</w:t>
      </w:r>
    </w:p>
    <w:p>
      <w:pPr>
        <w:spacing w:line="600" w:lineRule="exact"/>
        <w:ind w:firstLine="640" w:firstLineChars="200"/>
        <w:rPr>
          <w:rFonts w:ascii="华文仿宋" w:hAnsi="华文仿宋" w:eastAsia="华文仿宋" w:cs="仿宋"/>
          <w:sz w:val="32"/>
          <w:szCs w:val="32"/>
        </w:rPr>
      </w:pPr>
      <w:r>
        <w:rPr>
          <w:rFonts w:hint="eastAsia" w:ascii="华文仿宋" w:hAnsi="华文仿宋" w:eastAsia="华文仿宋" w:cs="仿宋_GB2312"/>
          <w:bCs/>
          <w:color w:val="000000"/>
          <w:sz w:val="32"/>
          <w:szCs w:val="32"/>
        </w:rPr>
        <w:t>二是加快推动城市更新步伐。</w:t>
      </w:r>
      <w:r>
        <w:rPr>
          <w:rFonts w:hint="eastAsia" w:ascii="华文仿宋" w:hAnsi="华文仿宋" w:eastAsia="华文仿宋" w:cs="仿宋_GB2312"/>
          <w:sz w:val="32"/>
          <w:szCs w:val="32"/>
        </w:rPr>
        <w:t>紧密对接国家政策，争取中央和省级资金支持。</w:t>
      </w:r>
      <w:r>
        <w:rPr>
          <w:rFonts w:hint="eastAsia" w:ascii="华文仿宋" w:hAnsi="华文仿宋" w:eastAsia="华文仿宋" w:cs="仿宋"/>
          <w:sz w:val="32"/>
          <w:szCs w:val="32"/>
        </w:rPr>
        <w:t>启动城西南片区约3平方公里土地开发，做好项目包装、推介。</w:t>
      </w:r>
    </w:p>
    <w:p>
      <w:pPr>
        <w:spacing w:line="600" w:lineRule="exact"/>
        <w:ind w:firstLine="640" w:firstLineChars="200"/>
        <w:rPr>
          <w:rFonts w:ascii="华文仿宋" w:hAnsi="华文仿宋" w:eastAsia="华文仿宋" w:cs="仿宋"/>
          <w:sz w:val="32"/>
          <w:szCs w:val="32"/>
        </w:rPr>
      </w:pPr>
      <w:r>
        <w:rPr>
          <w:rFonts w:hint="eastAsia" w:ascii="华文仿宋" w:hAnsi="华文仿宋" w:eastAsia="华文仿宋" w:cs="仿宋"/>
          <w:sz w:val="32"/>
          <w:szCs w:val="32"/>
        </w:rPr>
        <w:t>三是全面加快绿地增设。因地制宜、适地适绿，结合道路建设以及老旧小区改造等有利契机，高标准开展绿地增设，提高绿化率。2022年、2023年老旧小区改造项目设计进行绿地、广场改造300多处。</w:t>
      </w:r>
    </w:p>
    <w:p>
      <w:pPr>
        <w:spacing w:line="600" w:lineRule="exact"/>
        <w:ind w:firstLine="640" w:firstLineChars="200"/>
        <w:rPr>
          <w:rFonts w:ascii="华文仿宋" w:hAnsi="华文仿宋" w:eastAsia="华文仿宋" w:cs="仿宋_GB2312"/>
          <w:sz w:val="32"/>
          <w:szCs w:val="32"/>
        </w:rPr>
      </w:pPr>
      <w:r>
        <w:rPr>
          <w:rFonts w:hint="eastAsia" w:ascii="华文仿宋" w:hAnsi="华文仿宋" w:eastAsia="华文仿宋" w:cs="仿宋"/>
          <w:sz w:val="32"/>
          <w:szCs w:val="32"/>
        </w:rPr>
        <w:t>四是加速推进乡镇管道燃气建设。计划投资8000万，完成龙潭、观音阁、桥江镇、祖师殿主管网、支线管网铺设，同步完成低庄、双井镇管道燃气附属设施建设。</w:t>
      </w:r>
    </w:p>
    <w:p>
      <w:pPr>
        <w:pStyle w:val="3"/>
        <w:spacing w:line="600" w:lineRule="exact"/>
        <w:ind w:firstLine="643"/>
        <w:rPr>
          <w:rFonts w:ascii="华文仿宋" w:hAnsi="华文仿宋" w:eastAsia="华文仿宋" w:cs="仿宋_GB2312"/>
          <w:bCs/>
          <w:color w:val="000000"/>
          <w:sz w:val="32"/>
          <w:szCs w:val="32"/>
        </w:rPr>
      </w:pPr>
      <w:r>
        <w:rPr>
          <w:rFonts w:hint="eastAsia" w:ascii="华文仿宋" w:hAnsi="华文仿宋" w:eastAsia="华文仿宋" w:cs="楷体_GB2312"/>
          <w:b w:val="0"/>
          <w:bCs/>
          <w:color w:val="auto"/>
          <w:sz w:val="32"/>
          <w:szCs w:val="32"/>
        </w:rPr>
        <w:t>五</w:t>
      </w:r>
      <w:r>
        <w:rPr>
          <w:rFonts w:hint="eastAsia" w:ascii="华文仿宋" w:hAnsi="华文仿宋" w:eastAsia="华文仿宋" w:cs="仿宋_GB2312"/>
          <w:b w:val="0"/>
          <w:bCs/>
          <w:color w:val="auto"/>
          <w:sz w:val="32"/>
          <w:szCs w:val="32"/>
        </w:rPr>
        <w:t>是持</w:t>
      </w:r>
      <w:r>
        <w:rPr>
          <w:rFonts w:hint="eastAsia" w:ascii="华文仿宋" w:hAnsi="华文仿宋" w:eastAsia="华文仿宋" w:cs="仿宋_GB2312"/>
          <w:bCs/>
          <w:color w:val="000000"/>
          <w:sz w:val="32"/>
          <w:szCs w:val="32"/>
        </w:rPr>
        <w:t>续治理城乡污水。完成卢峰镇污水处理二厂建设以及7个乡的污水处理设施建设。出台溆浦县乡镇污水处理收费标准文件，已建成的污水处理厂进入正式运营。</w:t>
      </w:r>
    </w:p>
    <w:p>
      <w:pPr>
        <w:pStyle w:val="3"/>
        <w:spacing w:line="600" w:lineRule="exact"/>
        <w:ind w:firstLine="643"/>
        <w:rPr>
          <w:rFonts w:ascii="华文仿宋" w:hAnsi="华文仿宋" w:eastAsia="华文仿宋" w:cs="仿宋"/>
          <w:sz w:val="32"/>
          <w:szCs w:val="32"/>
        </w:rPr>
      </w:pPr>
      <w:r>
        <w:rPr>
          <w:rFonts w:hint="eastAsia" w:ascii="华文仿宋" w:hAnsi="华文仿宋" w:eastAsia="华文仿宋" w:cs="仿宋_GB2312"/>
          <w:bCs/>
          <w:color w:val="000000"/>
          <w:sz w:val="32"/>
          <w:szCs w:val="32"/>
        </w:rPr>
        <w:t>六是</w:t>
      </w:r>
      <w:r>
        <w:rPr>
          <w:rFonts w:hint="eastAsia" w:ascii="华文仿宋" w:hAnsi="华文仿宋" w:eastAsia="华文仿宋" w:cs="仿宋"/>
          <w:sz w:val="32"/>
          <w:szCs w:val="32"/>
        </w:rPr>
        <w:t>着力抓好棚户区改造建设。按计划推进2023年棚户区改造项目，计划新建安置房454套，总建筑面积56239平方米，项目计划投资13708万元。继续推进住房保障货币化，采取实物配租与租赁补贴相结合的方式，鼓励住房困难家庭以领取租赁补贴的方式解决居住困难。</w:t>
      </w:r>
    </w:p>
    <w:p>
      <w:pPr>
        <w:pStyle w:val="3"/>
        <w:spacing w:line="600" w:lineRule="exact"/>
        <w:ind w:firstLine="643"/>
        <w:rPr>
          <w:rStyle w:val="17"/>
          <w:rFonts w:ascii="华文仿宋" w:hAnsi="华文仿宋" w:eastAsia="华文仿宋" w:cs="仿宋_GB2312"/>
          <w:bCs/>
          <w:sz w:val="32"/>
          <w:szCs w:val="32"/>
        </w:rPr>
      </w:pPr>
      <w:r>
        <w:rPr>
          <w:rFonts w:hint="eastAsia" w:ascii="华文仿宋" w:hAnsi="华文仿宋" w:eastAsia="华文仿宋" w:cs="仿宋"/>
          <w:sz w:val="32"/>
          <w:szCs w:val="32"/>
        </w:rPr>
        <w:t>七是</w:t>
      </w:r>
      <w:r>
        <w:rPr>
          <w:rStyle w:val="17"/>
          <w:rFonts w:ascii="华文仿宋" w:hAnsi="华文仿宋" w:eastAsia="华文仿宋"/>
          <w:bCs/>
          <w:sz w:val="32"/>
          <w:szCs w:val="32"/>
        </w:rPr>
        <w:t>加快实施老旧小区改造。</w:t>
      </w:r>
      <w:r>
        <w:rPr>
          <w:rStyle w:val="17"/>
          <w:rFonts w:ascii="华文仿宋" w:hAnsi="华文仿宋" w:eastAsia="华文仿宋" w:cs="仿宋_GB2312"/>
          <w:bCs/>
          <w:sz w:val="32"/>
          <w:szCs w:val="32"/>
        </w:rPr>
        <w:t>通过对县城区内老旧小区进行全面摸底调查，共摸底94个符合申报条件的小区，制定了4年改造计划。</w:t>
      </w:r>
      <w:r>
        <w:rPr>
          <w:rStyle w:val="17"/>
          <w:rFonts w:hint="eastAsia" w:ascii="华文仿宋" w:hAnsi="华文仿宋" w:eastAsia="华文仿宋" w:cs="仿宋_GB2312"/>
          <w:bCs/>
          <w:sz w:val="32"/>
          <w:szCs w:val="32"/>
        </w:rPr>
        <w:t>完成2022年的四个老旧小区改造任务，启动</w:t>
      </w:r>
      <w:r>
        <w:rPr>
          <w:rStyle w:val="17"/>
          <w:rFonts w:ascii="华文仿宋" w:hAnsi="华文仿宋" w:eastAsia="华文仿宋" w:cs="仿宋_GB2312"/>
          <w:bCs/>
          <w:sz w:val="32"/>
          <w:szCs w:val="32"/>
        </w:rPr>
        <w:t>20个</w:t>
      </w:r>
      <w:r>
        <w:rPr>
          <w:rStyle w:val="17"/>
          <w:rFonts w:hint="eastAsia" w:ascii="华文仿宋" w:hAnsi="华文仿宋" w:eastAsia="华文仿宋" w:cs="仿宋_GB2312"/>
          <w:bCs/>
          <w:sz w:val="32"/>
          <w:szCs w:val="32"/>
        </w:rPr>
        <w:t>老旧小区改造。</w:t>
      </w:r>
    </w:p>
    <w:p>
      <w:pPr>
        <w:pStyle w:val="3"/>
        <w:spacing w:line="600" w:lineRule="exact"/>
        <w:ind w:firstLine="643"/>
        <w:rPr>
          <w:rStyle w:val="17"/>
          <w:rFonts w:hint="eastAsia" w:ascii="华文仿宋" w:hAnsi="华文仿宋" w:eastAsia="华文仿宋" w:cs="仿宋_GB2312"/>
          <w:bCs/>
          <w:sz w:val="32"/>
          <w:szCs w:val="32"/>
        </w:rPr>
      </w:pPr>
      <w:r>
        <w:rPr>
          <w:rStyle w:val="17"/>
          <w:rFonts w:hint="eastAsia" w:ascii="华文仿宋" w:hAnsi="华文仿宋" w:eastAsia="华文仿宋" w:cs="仿宋_GB2312"/>
          <w:bCs/>
          <w:sz w:val="32"/>
          <w:szCs w:val="32"/>
        </w:rPr>
        <w:t>八是持续抓好农村危房改造，全力以赴完成2023年危房改造190户任务目标。</w:t>
      </w:r>
    </w:p>
    <w:p>
      <w:pPr>
        <w:pStyle w:val="3"/>
        <w:spacing w:line="600" w:lineRule="exact"/>
        <w:ind w:firstLine="643"/>
        <w:rPr>
          <w:rStyle w:val="17"/>
          <w:rFonts w:ascii="华文仿宋" w:hAnsi="华文仿宋" w:eastAsia="华文仿宋" w:cs="仿宋_GB2312"/>
          <w:bCs/>
          <w:sz w:val="32"/>
          <w:szCs w:val="32"/>
        </w:rPr>
      </w:pPr>
      <w:r>
        <w:rPr>
          <w:rStyle w:val="17"/>
          <w:rFonts w:hint="eastAsia" w:ascii="华文仿宋" w:hAnsi="华文仿宋" w:eastAsia="华文仿宋" w:cs="仿宋_GB2312"/>
          <w:bCs/>
          <w:sz w:val="32"/>
          <w:szCs w:val="32"/>
          <w:lang w:eastAsia="zh-CN"/>
        </w:rPr>
        <w:t>九</w:t>
      </w:r>
      <w:r>
        <w:rPr>
          <w:rStyle w:val="17"/>
          <w:rFonts w:hint="eastAsia" w:ascii="华文仿宋" w:hAnsi="华文仿宋" w:eastAsia="华文仿宋" w:cs="仿宋_GB2312"/>
          <w:bCs/>
          <w:sz w:val="32"/>
          <w:szCs w:val="32"/>
        </w:rPr>
        <w:t>是加快完成溆浦县传统村落连片保护利用实施方案和规划编制工作，完成项目前期准备工作，力争年底动工实施。抓好传统村落数字博物馆建设，提升博物馆建馆治理水平。</w:t>
      </w:r>
    </w:p>
    <w:p>
      <w:pPr>
        <w:shd w:val="clear" w:color="auto" w:fill="FFFFFF"/>
        <w:spacing w:line="640" w:lineRule="exact"/>
        <w:ind w:firstLine="640"/>
        <w:rPr>
          <w:rFonts w:ascii="仿宋_GB2312" w:hAnsi="仿宋" w:eastAsia="仿宋_GB2312"/>
          <w:spacing w:val="-2"/>
          <w:sz w:val="32"/>
          <w:szCs w:val="21"/>
        </w:rPr>
      </w:pPr>
      <w:r>
        <w:rPr>
          <w:rFonts w:hint="eastAsia" w:ascii="华文仿宋" w:hAnsi="华文仿宋" w:eastAsia="华文仿宋" w:cs="黑体"/>
          <w:b/>
          <w:sz w:val="32"/>
          <w:szCs w:val="32"/>
        </w:rPr>
        <w:t>四、资产管理情况。</w:t>
      </w:r>
    </w:p>
    <w:p>
      <w:pPr>
        <w:overflowPunct w:val="0"/>
        <w:spacing w:line="580" w:lineRule="exact"/>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固定资产398.3万元，已全部清理登记在册，安排专人管理，确保国有资产的不流失和使用效益，损坏、丢失、报废按制度处置。</w:t>
      </w:r>
      <w:r>
        <w:rPr>
          <w:rFonts w:hint="eastAsia" w:ascii="华文仿宋" w:hAnsi="华文仿宋" w:eastAsia="华文仿宋" w:cs="仿宋_GB2312"/>
          <w:kern w:val="0"/>
          <w:sz w:val="32"/>
          <w:szCs w:val="32"/>
        </w:rPr>
        <w:t>单位固定资产包括房屋72.57万元，通用设备297.83万元，专用设备0万元，家具及用具27.90万元，</w:t>
      </w:r>
      <w:r>
        <w:rPr>
          <w:rFonts w:hint="eastAsia" w:ascii="华文仿宋" w:hAnsi="华文仿宋" w:eastAsia="华文仿宋" w:cs="仿宋_GB2312"/>
          <w:bCs/>
          <w:kern w:val="0"/>
          <w:sz w:val="32"/>
          <w:szCs w:val="32"/>
        </w:rPr>
        <w:t>本部门固定资产全部由局本级统一管理</w:t>
      </w:r>
      <w:r>
        <w:rPr>
          <w:rFonts w:hint="eastAsia" w:ascii="华文仿宋" w:hAnsi="华文仿宋" w:eastAsia="华文仿宋" w:cs="仿宋_GB2312"/>
          <w:kern w:val="0"/>
          <w:sz w:val="32"/>
          <w:szCs w:val="32"/>
        </w:rPr>
        <w:t>。</w:t>
      </w:r>
    </w:p>
    <w:p>
      <w:pPr>
        <w:shd w:val="clear" w:color="auto" w:fill="FFFFFF"/>
        <w:spacing w:line="640" w:lineRule="exact"/>
        <w:ind w:firstLine="640"/>
        <w:rPr>
          <w:rFonts w:ascii="华文仿宋" w:hAnsi="华文仿宋" w:eastAsia="华文仿宋" w:cs="黑体"/>
          <w:b/>
          <w:sz w:val="32"/>
          <w:szCs w:val="32"/>
        </w:rPr>
      </w:pPr>
      <w:r>
        <w:rPr>
          <w:rFonts w:hint="eastAsia" w:ascii="华文仿宋" w:hAnsi="华文仿宋" w:eastAsia="华文仿宋" w:cs="黑体"/>
          <w:b/>
          <w:sz w:val="32"/>
          <w:szCs w:val="32"/>
        </w:rPr>
        <w:t>五、部门整体支出绩效情况分析</w:t>
      </w:r>
      <w:r>
        <w:rPr>
          <w:rFonts w:hint="eastAsia" w:ascii="仿宋_GB2312" w:hAnsi="仿宋" w:eastAsia="仿宋_GB2312"/>
          <w:spacing w:val="-2"/>
          <w:sz w:val="32"/>
          <w:szCs w:val="32"/>
        </w:rPr>
        <w:t>。</w:t>
      </w:r>
    </w:p>
    <w:p>
      <w:pPr>
        <w:overflowPunct w:val="0"/>
        <w:spacing w:line="580" w:lineRule="exact"/>
        <w:ind w:firstLine="640" w:firstLineChars="200"/>
        <w:rPr>
          <w:rFonts w:ascii="华文仿宋" w:hAnsi="华文仿宋" w:eastAsia="华文仿宋" w:cs="仿宋_GB2312"/>
          <w:kern w:val="0"/>
          <w:sz w:val="32"/>
          <w:szCs w:val="32"/>
        </w:rPr>
      </w:pPr>
      <w:r>
        <w:rPr>
          <w:rFonts w:hint="eastAsia" w:ascii="华文仿宋" w:hAnsi="华文仿宋" w:eastAsia="华文仿宋" w:cs="仿宋_GB2312"/>
          <w:kern w:val="0"/>
          <w:sz w:val="32"/>
          <w:szCs w:val="32"/>
        </w:rPr>
        <w:t>2022年，根据年初工作要点和重点性工作，积极履职，强化收支管理，建立健全内部管理制度，理顺内部管理流程，部门整体支出管理情况得到了提升，较好地完成了年度工作目标。</w:t>
      </w:r>
    </w:p>
    <w:p>
      <w:pPr>
        <w:ind w:firstLine="643" w:firstLineChars="200"/>
        <w:rPr>
          <w:rFonts w:ascii="仿宋" w:hAnsi="仿宋" w:eastAsia="仿宋" w:cs="宋体"/>
          <w:sz w:val="32"/>
          <w:szCs w:val="32"/>
        </w:rPr>
      </w:pPr>
      <w:r>
        <w:rPr>
          <w:rFonts w:hint="eastAsia" w:ascii="华文仿宋" w:hAnsi="华文仿宋" w:eastAsia="华文仿宋" w:cs="仿宋_GB2312"/>
          <w:b/>
          <w:bCs/>
          <w:sz w:val="32"/>
          <w:szCs w:val="32"/>
        </w:rPr>
        <w:t>1、社会效益。</w:t>
      </w:r>
      <w:r>
        <w:rPr>
          <w:rFonts w:hint="eastAsia" w:ascii="华文仿宋" w:hAnsi="华文仿宋" w:eastAsia="华文仿宋" w:cs="仿宋_GB2312"/>
          <w:kern w:val="0"/>
          <w:sz w:val="32"/>
          <w:szCs w:val="32"/>
        </w:rPr>
        <w:t>保证住建局正常工作运转及做好了城市基础设施建设、城市日常维护、全县建筑工程管理等工作。</w:t>
      </w:r>
      <w:r>
        <w:rPr>
          <w:rFonts w:hint="eastAsia" w:ascii="仿宋" w:hAnsi="仿宋" w:eastAsia="仿宋"/>
          <w:sz w:val="32"/>
          <w:szCs w:val="32"/>
        </w:rPr>
        <w:t>目前，项目各项工作完成情况均达到预期目标，居民宜居环境大幅度提升，幸福指数迅速上升，得到广大群众的广泛称赞。</w:t>
      </w:r>
    </w:p>
    <w:p>
      <w:pPr>
        <w:overflowPunct w:val="0"/>
        <w:spacing w:line="580" w:lineRule="exact"/>
        <w:ind w:firstLine="643" w:firstLineChars="200"/>
        <w:rPr>
          <w:rFonts w:ascii="华文仿宋" w:hAnsi="华文仿宋" w:eastAsia="华文仿宋" w:cs="仿宋_GB2312"/>
          <w:sz w:val="32"/>
          <w:szCs w:val="32"/>
        </w:rPr>
      </w:pPr>
      <w:r>
        <w:rPr>
          <w:rFonts w:hint="eastAsia" w:ascii="华文仿宋" w:hAnsi="华文仿宋" w:eastAsia="华文仿宋" w:cs="仿宋_GB2312"/>
          <w:b/>
          <w:bCs/>
          <w:sz w:val="32"/>
          <w:szCs w:val="32"/>
        </w:rPr>
        <w:t>2、行政效能。</w:t>
      </w:r>
      <w:r>
        <w:rPr>
          <w:rFonts w:hint="eastAsia" w:ascii="华文仿宋" w:hAnsi="华文仿宋" w:eastAsia="华文仿宋" w:cs="仿宋_GB2312"/>
          <w:sz w:val="32"/>
          <w:szCs w:val="32"/>
        </w:rPr>
        <w:t>2022年工作中进一步强化工作措施，克服种种困难，为县域经济建设作出贡献。</w:t>
      </w:r>
    </w:p>
    <w:p>
      <w:pPr>
        <w:ind w:firstLine="643" w:firstLineChars="200"/>
        <w:rPr>
          <w:rFonts w:ascii="仿宋" w:hAnsi="仿宋" w:eastAsia="仿宋"/>
          <w:b/>
          <w:sz w:val="32"/>
          <w:szCs w:val="32"/>
        </w:rPr>
      </w:pPr>
      <w:r>
        <w:rPr>
          <w:rFonts w:hint="eastAsia" w:ascii="华文仿宋" w:hAnsi="华文仿宋" w:eastAsia="华文仿宋" w:cs="仿宋_GB2312"/>
          <w:b/>
          <w:bCs/>
          <w:sz w:val="32"/>
          <w:szCs w:val="32"/>
        </w:rPr>
        <w:t>3、社会公众或服务对象满意度。</w:t>
      </w:r>
      <w:r>
        <w:rPr>
          <w:rFonts w:hint="eastAsia" w:ascii="华文仿宋" w:hAnsi="华文仿宋" w:eastAsia="华文仿宋" w:cs="仿宋_GB2312"/>
          <w:sz w:val="32"/>
          <w:szCs w:val="32"/>
        </w:rPr>
        <w:t>经向本单位服务对象的了解均对本单位的服务表示满意，满意度为100%。</w:t>
      </w:r>
      <w:r>
        <w:rPr>
          <w:rFonts w:hint="eastAsia" w:ascii="仿宋" w:hAnsi="仿宋" w:eastAsia="仿宋"/>
          <w:sz w:val="32"/>
          <w:szCs w:val="32"/>
        </w:rPr>
        <w:t>自各项目组织实施以来，中标公司严格按照施工合同质保期要求，从高从严的开展工作，确保效果达标，质量合格。居民宜居环境大幅度提升，幸福指数迅速上升，且得到各级领导及广大群众的充分肯定。</w:t>
      </w:r>
    </w:p>
    <w:p>
      <w:pPr>
        <w:shd w:val="clear" w:color="auto" w:fill="FFFFFF"/>
        <w:spacing w:line="640" w:lineRule="exact"/>
        <w:ind w:firstLine="640"/>
        <w:rPr>
          <w:rFonts w:ascii="黑体" w:hAnsi="黑体" w:eastAsia="黑体"/>
          <w:spacing w:val="-2"/>
          <w:sz w:val="32"/>
          <w:szCs w:val="32"/>
        </w:rPr>
      </w:pPr>
      <w:r>
        <w:rPr>
          <w:rFonts w:hint="eastAsia" w:ascii="华文仿宋" w:hAnsi="华文仿宋" w:eastAsia="华文仿宋" w:cs="黑体"/>
          <w:b/>
          <w:sz w:val="32"/>
          <w:szCs w:val="32"/>
        </w:rPr>
        <w:t>六、存在主要问题。</w:t>
      </w:r>
    </w:p>
    <w:p>
      <w:pPr>
        <w:spacing w:line="600" w:lineRule="exact"/>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1、预算不够精确，预算执行存在偏差，</w:t>
      </w:r>
      <w:r>
        <w:rPr>
          <w:rFonts w:hint="eastAsia" w:ascii="华文仿宋" w:hAnsi="华文仿宋" w:eastAsia="华文仿宋" w:cs="楷体_GB2312"/>
          <w:b/>
          <w:bCs/>
          <w:sz w:val="32"/>
          <w:szCs w:val="32"/>
        </w:rPr>
        <w:t>城市建设创新意识不强。</w:t>
      </w:r>
      <w:r>
        <w:rPr>
          <w:rFonts w:hint="eastAsia" w:ascii="华文仿宋" w:hAnsi="华文仿宋" w:eastAsia="华文仿宋" w:cs="仿宋_GB2312"/>
          <w:sz w:val="32"/>
          <w:szCs w:val="32"/>
        </w:rPr>
        <w:t>近年来，由于围绕脱贫攻坚、污染防治、乡村振兴等中心工作，而对政策分析研判、城市建设经营有所忽略，并受县财政形势影响，在相关工作开展上存在不够大胆的现象。比如老旧小区改造政策，因担心县级需配套资金而没有上报项目，自2019年工作铺开以来我县仅2021年动工2个，而全省已经改造了7400余个小区，上级补助资金在工作开展伊始，每户补助在2万元以上，而今年仅1.2万元，今后可能进一步降低。因此，从一定程序上来讲，我们错失了良好的政策发展机遇。</w:t>
      </w:r>
    </w:p>
    <w:p>
      <w:pPr>
        <w:spacing w:line="600" w:lineRule="exact"/>
        <w:ind w:firstLine="643" w:firstLineChars="200"/>
        <w:rPr>
          <w:rFonts w:ascii="华文仿宋" w:hAnsi="华文仿宋" w:eastAsia="华文仿宋" w:cs="仿宋_GB2312"/>
          <w:sz w:val="32"/>
          <w:szCs w:val="32"/>
        </w:rPr>
      </w:pPr>
      <w:r>
        <w:rPr>
          <w:rFonts w:hint="eastAsia" w:ascii="华文仿宋" w:hAnsi="华文仿宋" w:eastAsia="华文仿宋" w:cs="楷体_GB2312"/>
          <w:b/>
          <w:bCs/>
          <w:sz w:val="32"/>
          <w:szCs w:val="32"/>
        </w:rPr>
        <w:t>2、</w:t>
      </w:r>
      <w:r>
        <w:rPr>
          <w:rFonts w:hint="eastAsia" w:ascii="华文仿宋" w:hAnsi="华文仿宋" w:eastAsia="华文仿宋" w:cs="楷体"/>
          <w:b/>
          <w:bCs/>
          <w:sz w:val="32"/>
          <w:szCs w:val="32"/>
        </w:rPr>
        <w:t>城镇化率过低，基础设施建设欠账较多。</w:t>
      </w:r>
      <w:r>
        <w:rPr>
          <w:rFonts w:hint="eastAsia" w:ascii="华文仿宋" w:hAnsi="华文仿宋" w:eastAsia="华文仿宋" w:cs="仿宋_GB2312"/>
          <w:sz w:val="32"/>
          <w:szCs w:val="32"/>
        </w:rPr>
        <w:t>因统计口径原因，“七普”后我县常住人口城镇化率仅27.37%，远低于全国全省平均水平，将长期影响我县该项指标的考核。此外，长期以来，县城建设重房地产开发，轻公共配套，各项设施不足、服务半径偏大，导致城镇功能不完善，综合承载能力不强。例如：县城断头路尚有10条，严重影响县城交通组织，中心城区和重点路段交通极为堵塞，特别是因行政大道西段未拉通，人社大楼无法装修启用，舒新城路交通不堪重负。</w:t>
      </w:r>
    </w:p>
    <w:p>
      <w:pPr>
        <w:spacing w:line="600" w:lineRule="exact"/>
        <w:ind w:firstLine="643" w:firstLineChars="200"/>
        <w:rPr>
          <w:rFonts w:ascii="华文仿宋" w:hAnsi="华文仿宋" w:eastAsia="华文仿宋" w:cs="楷体_GB2312"/>
          <w:b/>
          <w:bCs/>
          <w:sz w:val="32"/>
          <w:szCs w:val="32"/>
        </w:rPr>
      </w:pPr>
      <w:r>
        <w:rPr>
          <w:rFonts w:hint="eastAsia" w:ascii="华文仿宋" w:hAnsi="华文仿宋" w:eastAsia="华文仿宋" w:cs="楷体_GB2312"/>
          <w:b/>
          <w:bCs/>
          <w:sz w:val="32"/>
          <w:szCs w:val="32"/>
        </w:rPr>
        <w:t>3、房地产市场持续低迷，重振难度大。</w:t>
      </w:r>
      <w:r>
        <w:rPr>
          <w:rFonts w:hint="eastAsia" w:ascii="华文仿宋" w:hAnsi="华文仿宋" w:eastAsia="华文仿宋" w:cs="仿宋_GB2312"/>
          <w:sz w:val="32"/>
          <w:szCs w:val="32"/>
        </w:rPr>
        <w:t>受宏观调控政策及多重因素影响，购房者置业情绪低迷，房企资金压力一时难以缓解，房地产市场将进入一个较长的调整期，全县建筑行业发展和商品房销售受到较大影响。2022年1至9月，商销面积累积42.18万平方米，去年1-9月商销面积为54.96万平方米，同比增速-24.9%。1-10月固投累积25.9亿元，去年1-10月房地产固投33.1亿元，同比增速-21.7%。</w:t>
      </w:r>
    </w:p>
    <w:p>
      <w:pPr>
        <w:spacing w:line="600" w:lineRule="exact"/>
        <w:ind w:firstLine="643" w:firstLineChars="200"/>
        <w:rPr>
          <w:rFonts w:ascii="华文仿宋" w:hAnsi="华文仿宋" w:eastAsia="华文仿宋" w:cs="仿宋_GB2312"/>
          <w:bCs/>
          <w:color w:val="000000"/>
          <w:sz w:val="32"/>
          <w:szCs w:val="32"/>
        </w:rPr>
      </w:pPr>
      <w:r>
        <w:rPr>
          <w:rFonts w:hint="eastAsia" w:ascii="华文仿宋" w:hAnsi="华文仿宋" w:eastAsia="华文仿宋" w:cs="仿宋_GB2312"/>
          <w:b/>
          <w:bCs w:val="0"/>
          <w:color w:val="000000"/>
          <w:sz w:val="32"/>
          <w:szCs w:val="32"/>
        </w:rPr>
        <w:t>4、城镇化水平过低，发展速度过缓。</w:t>
      </w:r>
      <w:r>
        <w:rPr>
          <w:rFonts w:hint="eastAsia" w:ascii="华文仿宋" w:hAnsi="华文仿宋" w:eastAsia="华文仿宋" w:cs="仿宋_GB2312"/>
          <w:bCs/>
          <w:color w:val="000000"/>
          <w:sz w:val="32"/>
          <w:szCs w:val="32"/>
        </w:rPr>
        <w:t>按照第七次人口普查统计数据，2021年我县城镇化率30.13%，远远低于全省59.71%的平均水平，在全市也处于靠后位置，直接影响到全县绩效考核。</w:t>
      </w:r>
      <w:r>
        <w:rPr>
          <w:rFonts w:hint="eastAsia" w:ascii="华文仿宋" w:hAnsi="华文仿宋" w:eastAsia="华文仿宋" w:cs="仿宋_GB2312"/>
          <w:b/>
          <w:color w:val="000000"/>
          <w:sz w:val="32"/>
          <w:szCs w:val="32"/>
        </w:rPr>
        <w:t>最直接的压力</w:t>
      </w:r>
      <w:r>
        <w:rPr>
          <w:rFonts w:hint="eastAsia" w:ascii="华文仿宋" w:hAnsi="华文仿宋" w:eastAsia="华文仿宋" w:cs="仿宋_GB2312"/>
          <w:bCs/>
          <w:color w:val="000000"/>
          <w:sz w:val="32"/>
          <w:szCs w:val="32"/>
        </w:rPr>
        <w:t>安全生产事故易发，住建部门牵头负责的安全生产监管工作多达6项，几十年高速增长但粗放粗质的城镇化，城市管理进入矛盾多发和安全风险高发“窗口期”；蓬勃发展但管理欠优的新农村，建房质量、环境整治水平参差不齐，城乡安全管理任艰道远。</w:t>
      </w:r>
      <w:r>
        <w:rPr>
          <w:rFonts w:hint="eastAsia" w:ascii="华文仿宋" w:hAnsi="华文仿宋" w:eastAsia="华文仿宋" w:cs="仿宋_GB2312"/>
          <w:b/>
          <w:color w:val="000000"/>
          <w:sz w:val="32"/>
          <w:szCs w:val="32"/>
        </w:rPr>
        <w:t>最艰巨的任务</w:t>
      </w:r>
      <w:r>
        <w:rPr>
          <w:rFonts w:hint="eastAsia" w:ascii="华文仿宋" w:hAnsi="华文仿宋" w:eastAsia="华文仿宋" w:cs="仿宋_GB2312"/>
          <w:bCs/>
          <w:color w:val="000000"/>
          <w:sz w:val="32"/>
          <w:szCs w:val="32"/>
        </w:rPr>
        <w:t>促进住建产业发展迫在眉睫。建筑领域各项经济指标较去年同期有较大的减幅，主要原因是疫情影响加剧，经济下行压力加大，房地产市场持续低迷，社会投资、财政投资继续减少，各项指标难以回升。</w:t>
      </w:r>
      <w:r>
        <w:rPr>
          <w:rFonts w:hint="eastAsia" w:ascii="华文仿宋" w:hAnsi="华文仿宋" w:eastAsia="华文仿宋" w:cs="仿宋_GB2312"/>
          <w:b/>
          <w:color w:val="000000"/>
          <w:sz w:val="32"/>
          <w:szCs w:val="32"/>
        </w:rPr>
        <w:t>最突出的短板</w:t>
      </w:r>
      <w:r>
        <w:rPr>
          <w:rFonts w:hint="eastAsia" w:ascii="华文仿宋" w:hAnsi="华文仿宋" w:eastAsia="华文仿宋" w:cs="仿宋_GB2312"/>
          <w:bCs/>
          <w:color w:val="000000"/>
          <w:sz w:val="32"/>
          <w:szCs w:val="32"/>
        </w:rPr>
        <w:t>城镇建设资金筹措困难，城乡环境基础设施建设仍然薄弱。城镇路网建设、污水和垃圾治理、排洪防涝、防灾减灾、老旧小区改造等基础设施建设项目县级财政资金缺口大；单位力量配备不足，人事不相匹配矛盾突出；系统内部职能没有完全理顺，执法主体仍不明确，干部能力水平与发展要求存在差距，等等。</w:t>
      </w:r>
    </w:p>
    <w:p>
      <w:pPr>
        <w:shd w:val="clear" w:color="auto" w:fill="FFFFFF"/>
        <w:spacing w:line="640" w:lineRule="exact"/>
        <w:ind w:firstLine="640"/>
        <w:rPr>
          <w:rFonts w:ascii="仿宋_GB2312" w:eastAsia="仿宋_GB2312"/>
        </w:rPr>
      </w:pPr>
      <w:r>
        <w:rPr>
          <w:rFonts w:hint="eastAsia" w:ascii="华文仿宋" w:hAnsi="华文仿宋" w:eastAsia="华文仿宋" w:cs="黑体"/>
          <w:b/>
          <w:sz w:val="32"/>
          <w:szCs w:val="32"/>
        </w:rPr>
        <w:t>七、改进措施和相关建议</w:t>
      </w:r>
    </w:p>
    <w:p>
      <w:pPr>
        <w:overflowPunct w:val="0"/>
        <w:spacing w:line="580" w:lineRule="exact"/>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1、是要加强财务管理，严把支出关，严格执行财务管理制度，规范各项支出审核，严防超支，促进财务管理的法制化、科学化、合理化运行,加强预算管理，强化预算监督,强化财务专业知识学习，提升专业素养。</w:t>
      </w:r>
    </w:p>
    <w:p>
      <w:pPr>
        <w:spacing w:line="600" w:lineRule="exact"/>
        <w:ind w:firstLine="643" w:firstLineChars="200"/>
        <w:rPr>
          <w:rFonts w:ascii="华文仿宋" w:hAnsi="华文仿宋" w:eastAsia="华文仿宋" w:cs="仿宋_GB2312"/>
          <w:sz w:val="32"/>
          <w:szCs w:val="32"/>
        </w:rPr>
      </w:pPr>
      <w:r>
        <w:rPr>
          <w:rFonts w:hint="eastAsia" w:ascii="华文仿宋" w:hAnsi="华文仿宋" w:eastAsia="华文仿宋" w:cs="楷体_GB2312"/>
          <w:b/>
          <w:color w:val="000000"/>
          <w:sz w:val="32"/>
          <w:szCs w:val="32"/>
        </w:rPr>
        <w:t>2、实施城市赋能，狠抓基础设施建设。</w:t>
      </w:r>
      <w:r>
        <w:rPr>
          <w:rFonts w:hint="eastAsia" w:ascii="华文仿宋" w:hAnsi="华文仿宋" w:eastAsia="华文仿宋" w:cs="仿宋_GB2312"/>
          <w:bCs/>
          <w:color w:val="000000"/>
          <w:sz w:val="32"/>
          <w:szCs w:val="32"/>
        </w:rPr>
        <w:t>一是持续优化提升市政路网。统筹推进“断头路”建设，启动并完成纬八路（农商银苑段）、纬五路（经十路段）、开发路南段（玉潭学校段）等道路建设，启动一中至瓷厂等断头路建设。二是加快推动城市更新步伐。</w:t>
      </w:r>
      <w:r>
        <w:rPr>
          <w:rFonts w:hint="eastAsia" w:ascii="华文仿宋" w:hAnsi="华文仿宋" w:eastAsia="华文仿宋" w:cs="仿宋_GB2312"/>
          <w:sz w:val="32"/>
          <w:szCs w:val="32"/>
        </w:rPr>
        <w:t>紧密对接国家政策，争取中央和省级资金支持。</w:t>
      </w:r>
      <w:r>
        <w:rPr>
          <w:rFonts w:hint="eastAsia" w:ascii="华文仿宋" w:hAnsi="华文仿宋" w:eastAsia="华文仿宋" w:cs="仿宋"/>
          <w:sz w:val="32"/>
          <w:szCs w:val="32"/>
        </w:rPr>
        <w:t>启动城西南片区约3平方公里土地开发，做好项目包装、推介。三是全面加快绿地增设。因地制宜、适地适绿，结合道路建设以及老旧小区改造等有利契机，高标准开展绿地增设，提高绿化率。2022年、2023年老旧小区改造项目设计进行绿地、广场改造300多处。四是加速推进乡镇管道燃气建设。计划投资8000万，完成龙潭、观音阁、桥江镇、祖师殿主管网、支线管网铺设，同步完成低庄、双井镇管道燃气附属设施建设。</w:t>
      </w:r>
    </w:p>
    <w:p>
      <w:pPr>
        <w:pStyle w:val="3"/>
        <w:spacing w:line="600" w:lineRule="exact"/>
        <w:ind w:firstLine="643"/>
        <w:rPr>
          <w:rStyle w:val="17"/>
          <w:rFonts w:ascii="华文仿宋" w:hAnsi="华文仿宋" w:eastAsia="华文仿宋" w:cs="仿宋_GB2312"/>
          <w:bCs/>
          <w:sz w:val="32"/>
          <w:szCs w:val="32"/>
        </w:rPr>
      </w:pPr>
      <w:r>
        <w:rPr>
          <w:rFonts w:hint="eastAsia" w:ascii="华文仿宋" w:hAnsi="华文仿宋" w:eastAsia="华文仿宋" w:cs="楷体_GB2312"/>
          <w:b/>
          <w:color w:val="000000"/>
          <w:sz w:val="32"/>
          <w:szCs w:val="32"/>
        </w:rPr>
        <w:t>3、持续抓好民生工程，优化城乡人居环境。一</w:t>
      </w:r>
      <w:r>
        <w:rPr>
          <w:rFonts w:hint="eastAsia" w:ascii="华文仿宋" w:hAnsi="华文仿宋" w:eastAsia="华文仿宋" w:cs="仿宋_GB2312"/>
          <w:bCs/>
          <w:color w:val="000000"/>
          <w:sz w:val="32"/>
          <w:szCs w:val="32"/>
        </w:rPr>
        <w:t>是持续治理城乡污水。完成卢峰镇污水处理二厂建设以及7个乡的污水处理设施建设。出台溆浦县乡镇污水处理收费标准文件，已建成的污水处理厂进入正式运营。二是</w:t>
      </w:r>
      <w:r>
        <w:rPr>
          <w:rFonts w:hint="eastAsia" w:ascii="华文仿宋" w:hAnsi="华文仿宋" w:eastAsia="华文仿宋" w:cs="仿宋"/>
          <w:sz w:val="32"/>
          <w:szCs w:val="32"/>
        </w:rPr>
        <w:t>着力抓好棚户区改造建设。按计划推进2023年棚户区改造项目，计划新建安置房454套，总建筑面积56239平方米，项目计划投资13708万元。继续推进住房保障货币化，采取实物配租与租赁补贴相结合的方式，鼓励住房困难家庭以领取租赁补贴的方式解决居住困难。三是</w:t>
      </w:r>
      <w:r>
        <w:rPr>
          <w:rStyle w:val="17"/>
          <w:rFonts w:ascii="华文仿宋" w:hAnsi="华文仿宋" w:eastAsia="华文仿宋"/>
          <w:bCs/>
          <w:sz w:val="32"/>
          <w:szCs w:val="32"/>
        </w:rPr>
        <w:t>加快实施老旧小区改造。</w:t>
      </w:r>
      <w:r>
        <w:rPr>
          <w:rStyle w:val="17"/>
          <w:rFonts w:ascii="华文仿宋" w:hAnsi="华文仿宋" w:eastAsia="华文仿宋" w:cs="仿宋_GB2312"/>
          <w:bCs/>
          <w:sz w:val="32"/>
          <w:szCs w:val="32"/>
        </w:rPr>
        <w:t>通过对县城区内老旧小区进行全面摸底调查，共摸底94个符合申报条件的小区，制定了4年改造计划。</w:t>
      </w:r>
      <w:r>
        <w:rPr>
          <w:rStyle w:val="17"/>
          <w:rFonts w:hint="eastAsia" w:ascii="华文仿宋" w:hAnsi="华文仿宋" w:eastAsia="华文仿宋" w:cs="仿宋_GB2312"/>
          <w:bCs/>
          <w:sz w:val="32"/>
          <w:szCs w:val="32"/>
        </w:rPr>
        <w:t>完成2022年的四个老旧小区改造任务，启动</w:t>
      </w:r>
      <w:r>
        <w:rPr>
          <w:rStyle w:val="17"/>
          <w:rFonts w:ascii="华文仿宋" w:hAnsi="华文仿宋" w:eastAsia="华文仿宋" w:cs="仿宋_GB2312"/>
          <w:bCs/>
          <w:sz w:val="32"/>
          <w:szCs w:val="32"/>
        </w:rPr>
        <w:t>20个</w:t>
      </w:r>
      <w:r>
        <w:rPr>
          <w:rStyle w:val="17"/>
          <w:rFonts w:hint="eastAsia" w:ascii="华文仿宋" w:hAnsi="华文仿宋" w:eastAsia="华文仿宋" w:cs="仿宋_GB2312"/>
          <w:bCs/>
          <w:sz w:val="32"/>
          <w:szCs w:val="32"/>
        </w:rPr>
        <w:t>老旧小区改造。四是持续抓好农村危房改造，全力以赴完成2023年危房改造190户任务目标。五是加快完成溆浦县传统村落连片保护利用实施方案和规划编制工作，完成项目前期准备工作，力争年底动工实施。抓好传统村落数字博物馆建设，提升博物馆建馆治理水平。</w:t>
      </w:r>
    </w:p>
    <w:p>
      <w:pPr>
        <w:pStyle w:val="3"/>
        <w:spacing w:line="600" w:lineRule="exact"/>
        <w:ind w:firstLine="643"/>
        <w:rPr>
          <w:rFonts w:ascii="华文仿宋" w:hAnsi="华文仿宋" w:eastAsia="华文仿宋" w:cs="宋体"/>
          <w:sz w:val="32"/>
          <w:szCs w:val="32"/>
        </w:rPr>
      </w:pPr>
      <w:r>
        <w:rPr>
          <w:rFonts w:hint="eastAsia" w:ascii="华文仿宋" w:hAnsi="华文仿宋" w:eastAsia="华文仿宋" w:cs="楷体_GB2312"/>
          <w:b/>
          <w:color w:val="000000"/>
          <w:sz w:val="32"/>
          <w:szCs w:val="32"/>
        </w:rPr>
        <w:t>4、展现惠民本色，厚植发展主色。一</w:t>
      </w:r>
      <w:r>
        <w:rPr>
          <w:rFonts w:hint="eastAsia" w:ascii="华文仿宋" w:hAnsi="华文仿宋" w:eastAsia="华文仿宋" w:cs="仿宋_GB2312"/>
          <w:sz w:val="32"/>
          <w:szCs w:val="32"/>
        </w:rPr>
        <w:t>是加强房地产市场管理。继续实施房地产调控政策，落实《关于进一步促进溆浦县房地产业良性循环和健康发展的意见》及“保交楼”工作方案，维护房地产市场平稳健康发展。加强房地产市场监管，定期开展房地产市场专项整治。做好房地产企业诚信管理及房地产市场失信主体联合惩戒，营造诚信经营的市场环境。加强房地产领域风险排查，认真化解问题楼盘及涉稳楼盘，防范化解房地产领域矛盾风险。二是推动建筑市场健康发展。优化建筑业发展环境。加大对建筑业行业的扶持力度，研究制定促进建筑业发展扶持政策，鼓励我县建筑业企业做大做强。规范建筑业市场管理，</w:t>
      </w:r>
      <w:r>
        <w:rPr>
          <w:rFonts w:hint="eastAsia" w:ascii="华文仿宋" w:hAnsi="华文仿宋" w:eastAsia="华文仿宋" w:cs="宋体"/>
          <w:sz w:val="32"/>
          <w:szCs w:val="32"/>
        </w:rPr>
        <w:t>强化多部门信用信息互联互通和交换共享，联合奖惩。加强实名制信息化管理，强化企业履职到岗监管。持续推进住宅工程质量常见问题专项治理行动和政府工程质量管理整治行动，推动建筑工程品质提升；综合运用信息化、差异化监管、信用评价等手段，加强对混凝土等建材的质量管控；加强消防技术服务机构监管，进一步规范从业行为。</w:t>
      </w:r>
    </w:p>
    <w:p>
      <w:pPr>
        <w:pStyle w:val="3"/>
        <w:spacing w:line="600" w:lineRule="exact"/>
        <w:ind w:firstLine="643"/>
        <w:rPr>
          <w:rFonts w:ascii="华文仿宋" w:hAnsi="华文仿宋" w:eastAsia="华文仿宋"/>
        </w:rPr>
      </w:pPr>
      <w:r>
        <w:rPr>
          <w:rFonts w:hint="eastAsia" w:ascii="华文仿宋" w:hAnsi="华文仿宋" w:eastAsia="华文仿宋" w:cs="楷体_GB2312"/>
          <w:b/>
          <w:bCs/>
          <w:sz w:val="32"/>
          <w:szCs w:val="32"/>
        </w:rPr>
        <w:t>5、狠抓行业监管，擦亮安全底色。</w:t>
      </w:r>
      <w:r>
        <w:rPr>
          <w:rFonts w:hint="eastAsia" w:ascii="华文仿宋" w:hAnsi="华文仿宋" w:eastAsia="华文仿宋" w:cs="宋体"/>
          <w:sz w:val="32"/>
          <w:szCs w:val="32"/>
        </w:rPr>
        <w:t>一是加强建筑工程安全监管。强化限额以下小型工程、危大工程、高处作业等安全管理，坚决杜绝安全生产事故发生；加强安全生产标准化、信息化建设，建立健全安全风险分级管控和隐患排查治理双重预防机制；深入开展检查，加大执法力度，依法从严从重惩处违法违规行为。二是加强燃气安全管理。全力推进管道天然气建设、燃气便民服务部设置等工作。加强燃气日常安全监管，开展部门联动检查，排查整治燃气安全隐患。加大执法力度，严厉打击“黑气”。加强燃气安全普法宣传，普及燃气安全知识。三是做好房屋安全排查整治。巩固提升房屋安全专项整治成果，推动全县自建房风险排查整治工作常态化。以自建房安全整治和农村住房质量安全监管共同缔造示范为契机，加快建立健全我县农村住房质量安全监管管理体系，规范房屋安全鉴定企业行业管理。四是落实常态化疫情防控工作。加强在建工地、物业管理小区、保障房小区、房地产销售、服务窗口、燃气企业等重点行业疫情防控，筑牢住房城乡建设领域安全防线，维护人民群众生命安全和身体健康。加大宣传力度，提高群众防疫意识和防控能力。</w:t>
      </w:r>
    </w:p>
    <w:p>
      <w:pPr>
        <w:spacing w:line="600" w:lineRule="exact"/>
        <w:rPr>
          <w:rFonts w:ascii="华文仿宋" w:hAnsi="华文仿宋" w:eastAsia="华文仿宋"/>
          <w:sz w:val="32"/>
          <w:szCs w:val="32"/>
        </w:rPr>
      </w:pPr>
      <w:bookmarkStart w:id="1" w:name="_GoBack"/>
      <w:bookmarkEnd w:id="1"/>
    </w:p>
    <w:sectPr>
      <w:pgSz w:w="11906" w:h="16838"/>
      <w:pgMar w:top="2154" w:right="1814" w:bottom="1701" w:left="1814" w:header="851" w:footer="1191"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微软雅黑"/>
    <w:panose1 w:val="00000000000000000000"/>
    <w:charset w:val="86"/>
    <w:family w:val="script"/>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2"/>
  </w:compat>
  <w:docVars>
    <w:docVar w:name="commondata" w:val="eyJoZGlkIjoiNjc1MTJmYzUzYTc5MmNjNjIzMDI1ODE2Mzc2Yzc0NzgifQ=="/>
  </w:docVars>
  <w:rsids>
    <w:rsidRoot w:val="009438BC"/>
    <w:rsid w:val="000016CB"/>
    <w:rsid w:val="00006F0A"/>
    <w:rsid w:val="000153A5"/>
    <w:rsid w:val="00026997"/>
    <w:rsid w:val="00027920"/>
    <w:rsid w:val="000322AC"/>
    <w:rsid w:val="00034DA5"/>
    <w:rsid w:val="000416F9"/>
    <w:rsid w:val="000508B3"/>
    <w:rsid w:val="000553BB"/>
    <w:rsid w:val="00076216"/>
    <w:rsid w:val="00086B67"/>
    <w:rsid w:val="000967AA"/>
    <w:rsid w:val="00097B63"/>
    <w:rsid w:val="000A64C4"/>
    <w:rsid w:val="000B4B8C"/>
    <w:rsid w:val="000C4B4B"/>
    <w:rsid w:val="000E5E59"/>
    <w:rsid w:val="000E65B3"/>
    <w:rsid w:val="000E6ED3"/>
    <w:rsid w:val="000E7985"/>
    <w:rsid w:val="000F1314"/>
    <w:rsid w:val="000F18F9"/>
    <w:rsid w:val="000F5E08"/>
    <w:rsid w:val="001106A8"/>
    <w:rsid w:val="001238B0"/>
    <w:rsid w:val="00137BF5"/>
    <w:rsid w:val="001430FE"/>
    <w:rsid w:val="00153B27"/>
    <w:rsid w:val="00157F80"/>
    <w:rsid w:val="00173A2C"/>
    <w:rsid w:val="00177F81"/>
    <w:rsid w:val="00180CA6"/>
    <w:rsid w:val="001A1A85"/>
    <w:rsid w:val="001A4682"/>
    <w:rsid w:val="001A518C"/>
    <w:rsid w:val="001C3942"/>
    <w:rsid w:val="001C6774"/>
    <w:rsid w:val="001C6D88"/>
    <w:rsid w:val="00202C78"/>
    <w:rsid w:val="002044D0"/>
    <w:rsid w:val="00221DB6"/>
    <w:rsid w:val="00235947"/>
    <w:rsid w:val="00237D86"/>
    <w:rsid w:val="00250C72"/>
    <w:rsid w:val="00257F1A"/>
    <w:rsid w:val="00257F9D"/>
    <w:rsid w:val="0026753A"/>
    <w:rsid w:val="00275271"/>
    <w:rsid w:val="00294A20"/>
    <w:rsid w:val="002A3012"/>
    <w:rsid w:val="002A3A25"/>
    <w:rsid w:val="002B0041"/>
    <w:rsid w:val="002B79F4"/>
    <w:rsid w:val="002F028D"/>
    <w:rsid w:val="002F673A"/>
    <w:rsid w:val="002F7164"/>
    <w:rsid w:val="003102A7"/>
    <w:rsid w:val="00323982"/>
    <w:rsid w:val="00325B32"/>
    <w:rsid w:val="00331E1A"/>
    <w:rsid w:val="00362549"/>
    <w:rsid w:val="00365AC9"/>
    <w:rsid w:val="003933F5"/>
    <w:rsid w:val="00393E3D"/>
    <w:rsid w:val="003946BD"/>
    <w:rsid w:val="003C45B4"/>
    <w:rsid w:val="003C650F"/>
    <w:rsid w:val="003D387A"/>
    <w:rsid w:val="003F256F"/>
    <w:rsid w:val="003F3832"/>
    <w:rsid w:val="003F6740"/>
    <w:rsid w:val="004108EB"/>
    <w:rsid w:val="0043347B"/>
    <w:rsid w:val="00447511"/>
    <w:rsid w:val="00450EC5"/>
    <w:rsid w:val="0046751D"/>
    <w:rsid w:val="00484489"/>
    <w:rsid w:val="00497DEC"/>
    <w:rsid w:val="004A06F7"/>
    <w:rsid w:val="004A4D55"/>
    <w:rsid w:val="004A5C7A"/>
    <w:rsid w:val="004A6F7B"/>
    <w:rsid w:val="004A73A5"/>
    <w:rsid w:val="004C34A3"/>
    <w:rsid w:val="004C40EB"/>
    <w:rsid w:val="004D281C"/>
    <w:rsid w:val="004F382E"/>
    <w:rsid w:val="004F495E"/>
    <w:rsid w:val="004F4D43"/>
    <w:rsid w:val="004F793B"/>
    <w:rsid w:val="00500C4D"/>
    <w:rsid w:val="00510CD4"/>
    <w:rsid w:val="00517785"/>
    <w:rsid w:val="005229CE"/>
    <w:rsid w:val="00532082"/>
    <w:rsid w:val="00543B79"/>
    <w:rsid w:val="00544F8C"/>
    <w:rsid w:val="005765C1"/>
    <w:rsid w:val="005913C2"/>
    <w:rsid w:val="005B5CE8"/>
    <w:rsid w:val="005C4313"/>
    <w:rsid w:val="005C56C8"/>
    <w:rsid w:val="005D026E"/>
    <w:rsid w:val="005D072A"/>
    <w:rsid w:val="005F01E3"/>
    <w:rsid w:val="005F5F40"/>
    <w:rsid w:val="00604D0C"/>
    <w:rsid w:val="00610948"/>
    <w:rsid w:val="0061727A"/>
    <w:rsid w:val="00622EC3"/>
    <w:rsid w:val="006273A4"/>
    <w:rsid w:val="006470E7"/>
    <w:rsid w:val="00647EFB"/>
    <w:rsid w:val="006527B6"/>
    <w:rsid w:val="006545A1"/>
    <w:rsid w:val="006744C0"/>
    <w:rsid w:val="00676BE4"/>
    <w:rsid w:val="00677A45"/>
    <w:rsid w:val="00683C46"/>
    <w:rsid w:val="0068408F"/>
    <w:rsid w:val="00685EB7"/>
    <w:rsid w:val="006B24C8"/>
    <w:rsid w:val="006D1000"/>
    <w:rsid w:val="006D6BAD"/>
    <w:rsid w:val="006F79FC"/>
    <w:rsid w:val="00702DEA"/>
    <w:rsid w:val="007055E4"/>
    <w:rsid w:val="0071684C"/>
    <w:rsid w:val="0071766D"/>
    <w:rsid w:val="0072023E"/>
    <w:rsid w:val="007257C7"/>
    <w:rsid w:val="00726848"/>
    <w:rsid w:val="0073239E"/>
    <w:rsid w:val="007329EF"/>
    <w:rsid w:val="00736955"/>
    <w:rsid w:val="00736EA6"/>
    <w:rsid w:val="00744555"/>
    <w:rsid w:val="007453FA"/>
    <w:rsid w:val="0076298E"/>
    <w:rsid w:val="007635FA"/>
    <w:rsid w:val="007754CC"/>
    <w:rsid w:val="00792107"/>
    <w:rsid w:val="00795871"/>
    <w:rsid w:val="007A03CA"/>
    <w:rsid w:val="007A5FFC"/>
    <w:rsid w:val="007B7D08"/>
    <w:rsid w:val="007C00C8"/>
    <w:rsid w:val="007C019E"/>
    <w:rsid w:val="007C13B2"/>
    <w:rsid w:val="007D02A2"/>
    <w:rsid w:val="007D0C75"/>
    <w:rsid w:val="007D1BD7"/>
    <w:rsid w:val="007D3E81"/>
    <w:rsid w:val="007D6660"/>
    <w:rsid w:val="007F1E0B"/>
    <w:rsid w:val="007F41B0"/>
    <w:rsid w:val="007F7262"/>
    <w:rsid w:val="00802CAF"/>
    <w:rsid w:val="008032A9"/>
    <w:rsid w:val="008149CF"/>
    <w:rsid w:val="0082115E"/>
    <w:rsid w:val="008373A7"/>
    <w:rsid w:val="0086154E"/>
    <w:rsid w:val="00873171"/>
    <w:rsid w:val="0087661D"/>
    <w:rsid w:val="00882B8B"/>
    <w:rsid w:val="0089358A"/>
    <w:rsid w:val="008A38C4"/>
    <w:rsid w:val="008B641C"/>
    <w:rsid w:val="008C053D"/>
    <w:rsid w:val="008D0C0A"/>
    <w:rsid w:val="008E16A7"/>
    <w:rsid w:val="008E43FC"/>
    <w:rsid w:val="008E5001"/>
    <w:rsid w:val="008E62F5"/>
    <w:rsid w:val="008F1940"/>
    <w:rsid w:val="008F2935"/>
    <w:rsid w:val="00901F4A"/>
    <w:rsid w:val="00902106"/>
    <w:rsid w:val="00905E34"/>
    <w:rsid w:val="00906988"/>
    <w:rsid w:val="00906A4F"/>
    <w:rsid w:val="00917E00"/>
    <w:rsid w:val="00922554"/>
    <w:rsid w:val="00922893"/>
    <w:rsid w:val="00923F03"/>
    <w:rsid w:val="0092447E"/>
    <w:rsid w:val="00933967"/>
    <w:rsid w:val="009438BC"/>
    <w:rsid w:val="00951281"/>
    <w:rsid w:val="00956D55"/>
    <w:rsid w:val="00960D5D"/>
    <w:rsid w:val="00967342"/>
    <w:rsid w:val="009717FE"/>
    <w:rsid w:val="0099090D"/>
    <w:rsid w:val="00992B7E"/>
    <w:rsid w:val="009A2723"/>
    <w:rsid w:val="009A41C1"/>
    <w:rsid w:val="009A4978"/>
    <w:rsid w:val="009C123B"/>
    <w:rsid w:val="009E5030"/>
    <w:rsid w:val="009F51C4"/>
    <w:rsid w:val="00A14E84"/>
    <w:rsid w:val="00A4368C"/>
    <w:rsid w:val="00A5453B"/>
    <w:rsid w:val="00A655C6"/>
    <w:rsid w:val="00A945D7"/>
    <w:rsid w:val="00AA16E5"/>
    <w:rsid w:val="00AB6244"/>
    <w:rsid w:val="00AB7398"/>
    <w:rsid w:val="00AC517B"/>
    <w:rsid w:val="00AC5E64"/>
    <w:rsid w:val="00AD30AB"/>
    <w:rsid w:val="00AD3F8B"/>
    <w:rsid w:val="00AE4ED4"/>
    <w:rsid w:val="00AF5611"/>
    <w:rsid w:val="00B0267D"/>
    <w:rsid w:val="00B217FB"/>
    <w:rsid w:val="00B2261B"/>
    <w:rsid w:val="00B231EE"/>
    <w:rsid w:val="00B3431F"/>
    <w:rsid w:val="00B86AEB"/>
    <w:rsid w:val="00BA16E6"/>
    <w:rsid w:val="00BA57E3"/>
    <w:rsid w:val="00BB1EF9"/>
    <w:rsid w:val="00BB7094"/>
    <w:rsid w:val="00BC060D"/>
    <w:rsid w:val="00BC5A30"/>
    <w:rsid w:val="00BF4EA2"/>
    <w:rsid w:val="00BF6B0A"/>
    <w:rsid w:val="00C02787"/>
    <w:rsid w:val="00C129C9"/>
    <w:rsid w:val="00C16FEA"/>
    <w:rsid w:val="00C25CE7"/>
    <w:rsid w:val="00C31FC2"/>
    <w:rsid w:val="00C3305F"/>
    <w:rsid w:val="00C5636E"/>
    <w:rsid w:val="00C63DB0"/>
    <w:rsid w:val="00C65260"/>
    <w:rsid w:val="00C76A83"/>
    <w:rsid w:val="00CA4D98"/>
    <w:rsid w:val="00CB0E22"/>
    <w:rsid w:val="00CC4743"/>
    <w:rsid w:val="00CE1E41"/>
    <w:rsid w:val="00D12C43"/>
    <w:rsid w:val="00D169F5"/>
    <w:rsid w:val="00D40CCB"/>
    <w:rsid w:val="00D43B04"/>
    <w:rsid w:val="00D60E06"/>
    <w:rsid w:val="00D60E44"/>
    <w:rsid w:val="00D707F9"/>
    <w:rsid w:val="00D73AF9"/>
    <w:rsid w:val="00D818B4"/>
    <w:rsid w:val="00D869D2"/>
    <w:rsid w:val="00D87D64"/>
    <w:rsid w:val="00DB4899"/>
    <w:rsid w:val="00DC16F6"/>
    <w:rsid w:val="00DF0BC6"/>
    <w:rsid w:val="00DF5603"/>
    <w:rsid w:val="00E231DF"/>
    <w:rsid w:val="00E5205D"/>
    <w:rsid w:val="00E64922"/>
    <w:rsid w:val="00E716F5"/>
    <w:rsid w:val="00E82AC6"/>
    <w:rsid w:val="00E84235"/>
    <w:rsid w:val="00E85828"/>
    <w:rsid w:val="00E8584E"/>
    <w:rsid w:val="00E87F25"/>
    <w:rsid w:val="00E917FE"/>
    <w:rsid w:val="00E96545"/>
    <w:rsid w:val="00EA0C09"/>
    <w:rsid w:val="00EB4775"/>
    <w:rsid w:val="00EB65CF"/>
    <w:rsid w:val="00EC3D75"/>
    <w:rsid w:val="00ED63EB"/>
    <w:rsid w:val="00EE6E69"/>
    <w:rsid w:val="00EF6987"/>
    <w:rsid w:val="00F03FBB"/>
    <w:rsid w:val="00F07E5A"/>
    <w:rsid w:val="00F53075"/>
    <w:rsid w:val="00F570F8"/>
    <w:rsid w:val="00F70202"/>
    <w:rsid w:val="00F95D68"/>
    <w:rsid w:val="00F97244"/>
    <w:rsid w:val="00FA241F"/>
    <w:rsid w:val="00FA419D"/>
    <w:rsid w:val="00FC0203"/>
    <w:rsid w:val="00FD5B09"/>
    <w:rsid w:val="00FD6BFD"/>
    <w:rsid w:val="00FF1647"/>
    <w:rsid w:val="00FF3D3E"/>
    <w:rsid w:val="02B728EE"/>
    <w:rsid w:val="089D5D22"/>
    <w:rsid w:val="0A880AAC"/>
    <w:rsid w:val="18BC560B"/>
    <w:rsid w:val="1C634110"/>
    <w:rsid w:val="1E9701F2"/>
    <w:rsid w:val="1F5B193C"/>
    <w:rsid w:val="22681587"/>
    <w:rsid w:val="42835FA3"/>
    <w:rsid w:val="50194360"/>
    <w:rsid w:val="52A3703F"/>
    <w:rsid w:val="5D59596F"/>
    <w:rsid w:val="615B75D0"/>
    <w:rsid w:val="63E13995"/>
    <w:rsid w:val="69946B2B"/>
    <w:rsid w:val="76A01B4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4"/>
    <w:qFormat/>
    <w:locked/>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6"/>
    <w:unhideWhenUsed/>
    <w:qFormat/>
    <w:uiPriority w:val="0"/>
    <w:pPr>
      <w:spacing w:after="120"/>
    </w:pPr>
    <w:rPr>
      <w:rFonts w:ascii="Times New Roman" w:hAnsi="Times New Roman"/>
      <w:szCs w:val="24"/>
    </w:rPr>
  </w:style>
  <w:style w:type="paragraph" w:styleId="4">
    <w:name w:val="Date"/>
    <w:basedOn w:val="1"/>
    <w:next w:val="1"/>
    <w:link w:val="13"/>
    <w:unhideWhenUsed/>
    <w:qFormat/>
    <w:uiPriority w:val="99"/>
    <w:pPr>
      <w:ind w:left="100" w:leftChars="2500"/>
    </w:pPr>
  </w:style>
  <w:style w:type="paragraph" w:styleId="5">
    <w:name w:val="footer"/>
    <w:basedOn w:val="1"/>
    <w:link w:val="12"/>
    <w:semiHidden/>
    <w:qFormat/>
    <w:uiPriority w:val="99"/>
    <w:pPr>
      <w:tabs>
        <w:tab w:val="center" w:pos="4153"/>
        <w:tab w:val="right" w:pos="8306"/>
      </w:tabs>
      <w:snapToGrid w:val="0"/>
      <w:jc w:val="left"/>
    </w:pPr>
    <w:rPr>
      <w:sz w:val="18"/>
      <w:szCs w:val="18"/>
    </w:rPr>
  </w:style>
  <w:style w:type="paragraph" w:styleId="6">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0">
    <w:name w:val="Strong"/>
    <w:basedOn w:val="9"/>
    <w:qFormat/>
    <w:locked/>
    <w:uiPriority w:val="22"/>
    <w:rPr>
      <w:b/>
      <w:bCs/>
    </w:rPr>
  </w:style>
  <w:style w:type="character" w:customStyle="1" w:styleId="11">
    <w:name w:val="页眉 Char"/>
    <w:basedOn w:val="9"/>
    <w:link w:val="6"/>
    <w:semiHidden/>
    <w:qFormat/>
    <w:locked/>
    <w:uiPriority w:val="99"/>
    <w:rPr>
      <w:rFonts w:cs="Times New Roman"/>
      <w:sz w:val="18"/>
      <w:szCs w:val="18"/>
    </w:rPr>
  </w:style>
  <w:style w:type="character" w:customStyle="1" w:styleId="12">
    <w:name w:val="页脚 Char"/>
    <w:basedOn w:val="9"/>
    <w:link w:val="5"/>
    <w:semiHidden/>
    <w:qFormat/>
    <w:locked/>
    <w:uiPriority w:val="99"/>
    <w:rPr>
      <w:rFonts w:cs="Times New Roman"/>
      <w:sz w:val="18"/>
      <w:szCs w:val="18"/>
    </w:rPr>
  </w:style>
  <w:style w:type="character" w:customStyle="1" w:styleId="13">
    <w:name w:val="日期 Char"/>
    <w:basedOn w:val="9"/>
    <w:link w:val="4"/>
    <w:semiHidden/>
    <w:qFormat/>
    <w:uiPriority w:val="99"/>
    <w:rPr>
      <w:kern w:val="2"/>
      <w:sz w:val="21"/>
      <w:szCs w:val="22"/>
    </w:rPr>
  </w:style>
  <w:style w:type="character" w:customStyle="1" w:styleId="14">
    <w:name w:val="标题 1 Char"/>
    <w:basedOn w:val="9"/>
    <w:link w:val="2"/>
    <w:qFormat/>
    <w:uiPriority w:val="9"/>
    <w:rPr>
      <w:rFonts w:ascii="宋体" w:hAnsi="宋体" w:cs="宋体"/>
      <w:b/>
      <w:bCs/>
      <w:kern w:val="36"/>
      <w:sz w:val="48"/>
      <w:szCs w:val="48"/>
    </w:rPr>
  </w:style>
  <w:style w:type="paragraph" w:customStyle="1" w:styleId="15">
    <w:name w:val="列出段落1"/>
    <w:basedOn w:val="1"/>
    <w:qFormat/>
    <w:uiPriority w:val="34"/>
    <w:pPr>
      <w:ind w:firstLine="420" w:firstLineChars="200"/>
    </w:pPr>
    <w:rPr>
      <w:rFonts w:cs="Calibri"/>
      <w:szCs w:val="21"/>
    </w:rPr>
  </w:style>
  <w:style w:type="character" w:customStyle="1" w:styleId="16">
    <w:name w:val="正文文本 Char"/>
    <w:basedOn w:val="9"/>
    <w:link w:val="3"/>
    <w:qFormat/>
    <w:uiPriority w:val="0"/>
    <w:rPr>
      <w:rFonts w:ascii="Times New Roman" w:hAnsi="Times New Roman"/>
      <w:kern w:val="2"/>
      <w:sz w:val="21"/>
      <w:szCs w:val="24"/>
    </w:rPr>
  </w:style>
  <w:style w:type="character" w:customStyle="1" w:styleId="17">
    <w:name w:val="NormalCharacter"/>
    <w:qFormat/>
    <w:uiPriority w:val="0"/>
  </w:style>
  <w:style w:type="paragraph" w:customStyle="1" w:styleId="18">
    <w:name w:val="HtmlNormal"/>
    <w:basedOn w:val="1"/>
    <w:qFormat/>
    <w:uiPriority w:val="0"/>
    <w:pPr>
      <w:spacing w:before="100" w:beforeAutospacing="1" w:after="100" w:afterAutospacing="1"/>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CD7331-8D33-412B-AA40-68B635E4922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5807</Words>
  <Characters>6186</Characters>
  <Lines>58</Lines>
  <Paragraphs>16</Paragraphs>
  <TotalTime>7</TotalTime>
  <ScaleCrop>false</ScaleCrop>
  <LinksUpToDate>false</LinksUpToDate>
  <CharactersWithSpaces>6195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2017-12-07T03:38:00Z</dcterms:created>
  <dc:creator>Microsoft</dc:creator>
  <cp:lastModifiedBy>Administrator</cp:lastModifiedBy>
  <cp:lastPrinted>2020-05-20T01:54:00Z</cp:lastPrinted>
  <dcterms:modified xsi:type="dcterms:W3CDTF">2023-08-18T03:19:06Z</dcterms:modified>
  <dc:title>XX单位2018年部门预算编制说明</dc:title>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6D882B346550400AB080C382F0922DAF_12</vt:lpwstr>
  </property>
</Properties>
</file>