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jc w:val="center"/>
        <w:rPr>
          <w:rFonts w:hint="eastAsia" w:ascii="宋体" w:hAnsi="宋体" w:eastAsia="宋体" w:cs="宋体"/>
          <w:b/>
          <w:bCs/>
          <w:color w:val="010101"/>
          <w:spacing w:val="20"/>
          <w:kern w:val="0"/>
          <w:sz w:val="44"/>
          <w:szCs w:val="44"/>
        </w:rPr>
      </w:pPr>
      <w:r>
        <w:rPr>
          <w:rFonts w:hint="eastAsia" w:ascii="宋体" w:hAnsi="宋体" w:eastAsia="宋体" w:cs="宋体"/>
          <w:b/>
          <w:bCs/>
          <w:color w:val="010101"/>
          <w:spacing w:val="20"/>
          <w:kern w:val="0"/>
          <w:sz w:val="44"/>
          <w:szCs w:val="44"/>
        </w:rPr>
        <w:t>溆浦县住房保障服务中心2022年度</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jc w:val="center"/>
        <w:rPr>
          <w:rFonts w:hint="eastAsia" w:ascii="宋体" w:hAnsi="宋体" w:eastAsia="宋体" w:cs="宋体"/>
          <w:b/>
          <w:bCs/>
          <w:color w:val="010101"/>
          <w:spacing w:val="20"/>
          <w:kern w:val="0"/>
          <w:sz w:val="44"/>
          <w:szCs w:val="44"/>
        </w:rPr>
      </w:pPr>
      <w:r>
        <w:rPr>
          <w:rFonts w:hint="eastAsia" w:ascii="宋体" w:hAnsi="宋体" w:eastAsia="宋体" w:cs="宋体"/>
          <w:b/>
          <w:bCs/>
          <w:color w:val="010101"/>
          <w:spacing w:val="20"/>
          <w:kern w:val="0"/>
          <w:sz w:val="44"/>
          <w:szCs w:val="44"/>
        </w:rPr>
        <w:t>部门整体支出绩效自评报告</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b/>
          <w:bCs/>
          <w:color w:val="010101"/>
          <w:kern w:val="0"/>
          <w:sz w:val="32"/>
          <w:szCs w:val="32"/>
        </w:rPr>
        <w:t>一、部门概况</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color w:val="010101"/>
          <w:kern w:val="0"/>
          <w:sz w:val="32"/>
          <w:szCs w:val="32"/>
        </w:rPr>
        <w:t>（一）</w:t>
      </w:r>
      <w:r>
        <w:rPr>
          <w:rFonts w:hint="eastAsia" w:ascii="仿宋" w:hAnsi="仿宋" w:eastAsia="仿宋" w:cs="仿宋"/>
          <w:b/>
          <w:bCs/>
          <w:color w:val="010101"/>
          <w:kern w:val="0"/>
          <w:sz w:val="32"/>
          <w:szCs w:val="32"/>
          <w:lang w:eastAsia="zh-CN"/>
        </w:rPr>
        <w:t>部门基本</w:t>
      </w:r>
      <w:r>
        <w:rPr>
          <w:rFonts w:hint="eastAsia" w:ascii="仿宋" w:hAnsi="仿宋" w:eastAsia="仿宋" w:cs="仿宋"/>
          <w:b/>
          <w:bCs/>
          <w:color w:val="010101"/>
          <w:kern w:val="0"/>
          <w:sz w:val="32"/>
          <w:szCs w:val="32"/>
        </w:rPr>
        <w:t>情况</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sz w:val="32"/>
          <w:szCs w:val="32"/>
        </w:rPr>
        <w:t>溆浦县住房保障服务中心作为自收自支的副科级事业单位，主要承担全县保障性住房管理、直管公房管理、物业行业管理、商品房预售管理、房屋征拆、房屋安全鉴定、白蚁防治、房屋维修资金管理等工作，内设13个股室，编制核定166人，其中在职149人，退休77人，单位负担遗属人员10人。</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333333"/>
          <w:sz w:val="32"/>
          <w:szCs w:val="32"/>
          <w:lang w:eastAsia="zh-CN"/>
        </w:rPr>
      </w:pPr>
      <w:r>
        <w:rPr>
          <w:rFonts w:hint="eastAsia" w:ascii="仿宋" w:hAnsi="仿宋" w:eastAsia="仿宋" w:cs="仿宋"/>
          <w:color w:val="010101"/>
          <w:kern w:val="0"/>
          <w:sz w:val="32"/>
          <w:szCs w:val="32"/>
        </w:rPr>
        <w:t>主要工作职责</w:t>
      </w:r>
      <w:r>
        <w:rPr>
          <w:rFonts w:hint="eastAsia" w:ascii="仿宋" w:hAnsi="仿宋" w:eastAsia="仿宋" w:cs="仿宋"/>
          <w:color w:val="010101"/>
          <w:kern w:val="0"/>
          <w:sz w:val="32"/>
          <w:szCs w:val="32"/>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1、负责全县城市房屋安全的鉴定和管理工作，制定房屋安全管理措施；</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2、负责全县房地产开发市场的监督管理和房地产企业的资质管理；</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3、负责全县物业企业管理工作，拟定物业管理政策并组织实施；</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4、负责房地产政策、法律、法规宣传，开展房地产管理执法检查，查处违法违章行为；</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left="630" w:firstLine="614" w:firstLineChars="200"/>
        <w:jc w:val="both"/>
        <w:textAlignment w:val="center"/>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5、负责廉租住房、经济适用房建设与管理，直管公房的经营与管理，研究拟定全县住房保障的地方性政策措施，通过发布后组织实施；</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6、负责全县住房住宅专项维修资金的交存、管理、监督和使用。</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7、负责全县白蚁防治灭治工作。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8、负责全县国有土地房屋征收与补偿工作。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textAlignment w:val="center"/>
        <w:rPr>
          <w:rFonts w:hint="eastAsia" w:ascii="仿宋" w:hAnsi="仿宋" w:eastAsia="仿宋" w:cs="仿宋"/>
          <w:sz w:val="32"/>
          <w:szCs w:val="32"/>
        </w:rPr>
      </w:pPr>
      <w:r>
        <w:rPr>
          <w:rFonts w:hint="eastAsia" w:ascii="仿宋" w:hAnsi="仿宋" w:eastAsia="仿宋" w:cs="仿宋"/>
          <w:sz w:val="32"/>
          <w:szCs w:val="32"/>
        </w:rPr>
        <w:t>9、承办县委、县政府交办的其他事项。</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lang w:eastAsia="zh-CN"/>
          <w14:textFill>
            <w14:solidFill>
              <w14:schemeClr w14:val="tx1"/>
            </w14:solidFill>
          </w14:textFill>
        </w:rPr>
        <w:t>（二）部门整体支出情况</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sz w:val="32"/>
          <w:szCs w:val="32"/>
          <w:lang w:val="en-US" w:eastAsia="zh-CN"/>
        </w:rPr>
      </w:pPr>
      <w:r>
        <w:rPr>
          <w:rFonts w:hint="eastAsia" w:ascii="仿宋" w:hAnsi="仿宋" w:eastAsia="仿宋" w:cs="仿宋"/>
          <w:color w:val="010101"/>
          <w:sz w:val="32"/>
          <w:szCs w:val="32"/>
          <w:lang w:val="en-US" w:eastAsia="zh-CN"/>
        </w:rPr>
        <w:t>（一）</w:t>
      </w:r>
      <w:r>
        <w:rPr>
          <w:rFonts w:hint="eastAsia" w:ascii="仿宋" w:hAnsi="仿宋" w:eastAsia="仿宋" w:cs="仿宋"/>
          <w:b/>
          <w:bCs/>
          <w:color w:val="010101"/>
          <w:sz w:val="32"/>
          <w:szCs w:val="32"/>
          <w:lang w:val="en-US" w:eastAsia="zh-CN"/>
        </w:rPr>
        <w:t>基本支出</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sz w:val="32"/>
          <w:szCs w:val="32"/>
          <w:lang w:val="en-US" w:eastAsia="zh-CN"/>
        </w:rPr>
      </w:pP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2022年度基本支出2280.84万元。主要用于：</w:t>
      </w:r>
      <w:r>
        <w:rPr>
          <w:rFonts w:hint="eastAsia" w:ascii="仿宋" w:hAnsi="仿宋" w:eastAsia="仿宋" w:cs="仿宋"/>
          <w:b w:val="0"/>
          <w:bCs w:val="0"/>
          <w:color w:val="000000" w:themeColor="text1"/>
          <w:sz w:val="32"/>
          <w:szCs w:val="32"/>
          <w14:textFill>
            <w14:solidFill>
              <w14:schemeClr w14:val="tx1"/>
            </w14:solidFill>
          </w14:textFill>
        </w:rPr>
        <w:t>工资</w:t>
      </w:r>
      <w:r>
        <w:rPr>
          <w:rFonts w:hint="eastAsia" w:ascii="仿宋" w:hAnsi="仿宋" w:eastAsia="仿宋" w:cs="仿宋"/>
          <w:b w:val="0"/>
          <w:bCs w:val="0"/>
          <w:color w:val="000000" w:themeColor="text1"/>
          <w:sz w:val="32"/>
          <w:szCs w:val="32"/>
          <w:highlight w:val="none"/>
          <w14:textFill>
            <w14:solidFill>
              <w14:schemeClr w14:val="tx1"/>
            </w14:solidFill>
          </w14:textFill>
        </w:rPr>
        <w:t>福利支出1579.4</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2</w:t>
      </w:r>
      <w:r>
        <w:rPr>
          <w:rFonts w:hint="eastAsia" w:ascii="仿宋" w:hAnsi="仿宋" w:eastAsia="仿宋" w:cs="仿宋"/>
          <w:b w:val="0"/>
          <w:bCs w:val="0"/>
          <w:color w:val="000000" w:themeColor="text1"/>
          <w:sz w:val="32"/>
          <w:szCs w:val="32"/>
          <w:highlight w:val="none"/>
          <w14:textFill>
            <w14:solidFill>
              <w14:schemeClr w14:val="tx1"/>
            </w14:solidFill>
          </w14:textFill>
        </w:rPr>
        <w:t>万元；商品服务支出541.2</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1</w:t>
      </w:r>
      <w:r>
        <w:rPr>
          <w:rFonts w:hint="eastAsia" w:ascii="仿宋" w:hAnsi="仿宋" w:eastAsia="仿宋" w:cs="仿宋"/>
          <w:b w:val="0"/>
          <w:bCs w:val="0"/>
          <w:color w:val="000000" w:themeColor="text1"/>
          <w:sz w:val="32"/>
          <w:szCs w:val="32"/>
          <w:highlight w:val="none"/>
          <w14:textFill>
            <w14:solidFill>
              <w14:schemeClr w14:val="tx1"/>
            </w14:solidFill>
          </w14:textFill>
        </w:rPr>
        <w:t>万元；对个人和家庭补助支出160.2</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1万元。</w:t>
      </w:r>
      <w:r>
        <w:rPr>
          <w:rFonts w:hint="eastAsia" w:ascii="仿宋" w:hAnsi="仿宋" w:eastAsia="仿宋" w:cs="仿宋"/>
          <w:bCs/>
          <w:color w:val="000000" w:themeColor="text1"/>
          <w:kern w:val="0"/>
          <w:sz w:val="32"/>
          <w:szCs w:val="32"/>
          <w:highlight w:val="none"/>
          <w14:textFill>
            <w14:solidFill>
              <w14:schemeClr w14:val="tx1"/>
            </w14:solidFill>
          </w14:textFill>
        </w:rPr>
        <w:t>2022年“三公”经</w:t>
      </w:r>
      <w:r>
        <w:rPr>
          <w:rFonts w:hint="eastAsia" w:ascii="仿宋" w:hAnsi="仿宋" w:eastAsia="仿宋" w:cs="仿宋"/>
          <w:bCs/>
          <w:color w:val="000000" w:themeColor="text1"/>
          <w:kern w:val="0"/>
          <w:sz w:val="32"/>
          <w:szCs w:val="32"/>
          <w14:textFill>
            <w14:solidFill>
              <w14:schemeClr w14:val="tx1"/>
            </w14:solidFill>
          </w14:textFill>
        </w:rPr>
        <w:t>费</w:t>
      </w:r>
      <w:r>
        <w:rPr>
          <w:rFonts w:hint="eastAsia" w:ascii="仿宋" w:hAnsi="仿宋" w:eastAsia="仿宋" w:cs="仿宋"/>
          <w:bCs/>
          <w:color w:val="000000" w:themeColor="text1"/>
          <w:kern w:val="0"/>
          <w:sz w:val="32"/>
          <w:szCs w:val="32"/>
          <w:lang w:val="en-US" w:eastAsia="zh-CN"/>
          <w14:textFill>
            <w14:solidFill>
              <w14:schemeClr w14:val="tx1"/>
            </w14:solidFill>
          </w14:textFill>
        </w:rPr>
        <w:t>0.17</w:t>
      </w:r>
      <w:r>
        <w:rPr>
          <w:rFonts w:hint="eastAsia" w:ascii="仿宋" w:hAnsi="仿宋" w:eastAsia="仿宋" w:cs="仿宋"/>
          <w:bCs/>
          <w:kern w:val="0"/>
          <w:sz w:val="32"/>
          <w:szCs w:val="32"/>
        </w:rPr>
        <w:t>万元,其中公务接待费0</w:t>
      </w:r>
      <w:r>
        <w:rPr>
          <w:rFonts w:hint="eastAsia" w:ascii="仿宋" w:hAnsi="仿宋" w:eastAsia="仿宋" w:cs="仿宋"/>
          <w:bCs/>
          <w:kern w:val="0"/>
          <w:sz w:val="32"/>
          <w:szCs w:val="32"/>
          <w:lang w:val="en-US" w:eastAsia="zh-CN"/>
        </w:rPr>
        <w:t>.17</w:t>
      </w:r>
      <w:r>
        <w:rPr>
          <w:rFonts w:hint="eastAsia" w:ascii="仿宋" w:hAnsi="仿宋" w:eastAsia="仿宋" w:cs="仿宋"/>
          <w:bCs/>
          <w:kern w:val="0"/>
          <w:sz w:val="32"/>
          <w:szCs w:val="32"/>
        </w:rPr>
        <w:t>万元,公车运行费用0万元。</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bCs w:val="0"/>
          <w:color w:val="010101"/>
          <w:kern w:val="0"/>
          <w:sz w:val="32"/>
          <w:szCs w:val="32"/>
          <w:lang w:eastAsia="zh-CN"/>
        </w:rPr>
      </w:pPr>
      <w:r>
        <w:rPr>
          <w:rFonts w:hint="eastAsia" w:ascii="仿宋" w:hAnsi="仿宋" w:eastAsia="仿宋" w:cs="仿宋"/>
          <w:b/>
          <w:color w:val="010101"/>
          <w:kern w:val="0"/>
          <w:sz w:val="32"/>
          <w:szCs w:val="32"/>
          <w:lang w:eastAsia="zh-CN"/>
        </w:rPr>
        <w:t>（二</w:t>
      </w:r>
      <w:r>
        <w:rPr>
          <w:rFonts w:hint="eastAsia" w:ascii="仿宋" w:hAnsi="仿宋" w:eastAsia="仿宋" w:cs="仿宋"/>
          <w:b w:val="0"/>
          <w:bCs/>
          <w:color w:val="010101"/>
          <w:kern w:val="0"/>
          <w:sz w:val="32"/>
          <w:szCs w:val="32"/>
          <w:lang w:eastAsia="zh-CN"/>
        </w:rPr>
        <w:t>）</w:t>
      </w:r>
      <w:r>
        <w:rPr>
          <w:rFonts w:hint="eastAsia" w:ascii="仿宋" w:hAnsi="仿宋" w:eastAsia="仿宋" w:cs="仿宋"/>
          <w:b/>
          <w:bCs w:val="0"/>
          <w:color w:val="010101"/>
          <w:kern w:val="0"/>
          <w:sz w:val="32"/>
          <w:szCs w:val="32"/>
          <w:lang w:eastAsia="zh-CN"/>
        </w:rPr>
        <w:t>专项支出</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bCs/>
          <w:color w:val="FF0000"/>
          <w:kern w:val="0"/>
          <w:sz w:val="32"/>
          <w:szCs w:val="32"/>
          <w:lang w:val="en-US" w:eastAsia="zh-CN"/>
        </w:rPr>
      </w:pPr>
      <w:r>
        <w:rPr>
          <w:rFonts w:hint="eastAsia" w:ascii="仿宋" w:hAnsi="仿宋" w:eastAsia="仿宋" w:cs="仿宋"/>
          <w:color w:val="010101"/>
          <w:sz w:val="32"/>
          <w:szCs w:val="32"/>
          <w:lang w:val="en-US" w:eastAsia="zh-CN"/>
        </w:rPr>
        <w:t>2022</w:t>
      </w:r>
      <w:r>
        <w:rPr>
          <w:rFonts w:hint="eastAsia" w:ascii="仿宋" w:hAnsi="仿宋" w:eastAsia="仿宋" w:cs="仿宋"/>
          <w:color w:val="010101"/>
          <w:sz w:val="32"/>
          <w:szCs w:val="32"/>
        </w:rPr>
        <w:t>年专项</w:t>
      </w:r>
      <w:r>
        <w:rPr>
          <w:rFonts w:hint="eastAsia" w:ascii="仿宋" w:hAnsi="仿宋" w:eastAsia="仿宋" w:cs="仿宋"/>
          <w:color w:val="010101"/>
          <w:sz w:val="32"/>
          <w:szCs w:val="32"/>
          <w:lang w:eastAsia="zh-CN"/>
        </w:rPr>
        <w:t>支出</w:t>
      </w:r>
      <w:r>
        <w:rPr>
          <w:rFonts w:hint="eastAsia" w:ascii="仿宋" w:hAnsi="仿宋" w:eastAsia="仿宋" w:cs="仿宋"/>
          <w:color w:val="000000" w:themeColor="text1"/>
          <w:sz w:val="32"/>
          <w:szCs w:val="32"/>
          <w14:textFill>
            <w14:solidFill>
              <w14:schemeClr w14:val="tx1"/>
            </w14:solidFill>
          </w14:textFill>
        </w:rPr>
        <w:t>为855.0</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10101"/>
          <w:sz w:val="32"/>
          <w:szCs w:val="32"/>
        </w:rPr>
        <w:t>万元。根据我单位的工作职能和职责设立，</w:t>
      </w:r>
      <w:r>
        <w:rPr>
          <w:rFonts w:hint="eastAsia" w:ascii="仿宋" w:hAnsi="仿宋" w:eastAsia="仿宋" w:cs="仿宋"/>
          <w:color w:val="010101"/>
          <w:sz w:val="32"/>
          <w:szCs w:val="32"/>
          <w:lang w:eastAsia="zh-CN"/>
        </w:rPr>
        <w:t>专项支出全部为</w:t>
      </w:r>
      <w:r>
        <w:rPr>
          <w:rFonts w:hint="eastAsia" w:ascii="仿宋" w:hAnsi="仿宋" w:eastAsia="仿宋" w:cs="仿宋"/>
          <w:color w:val="010101"/>
          <w:sz w:val="32"/>
          <w:szCs w:val="32"/>
        </w:rPr>
        <w:t>完成特定行政工作任务或事业发展目标而发生的支出，具体包括</w:t>
      </w:r>
      <w:r>
        <w:rPr>
          <w:rFonts w:hint="eastAsia" w:ascii="仿宋" w:hAnsi="仿宋" w:eastAsia="仿宋" w:cs="仿宋"/>
          <w:color w:val="010101"/>
          <w:sz w:val="32"/>
          <w:szCs w:val="32"/>
          <w:lang w:eastAsia="zh-CN"/>
        </w:rPr>
        <w:t>专项个人和家庭补助支出（</w:t>
      </w:r>
      <w:r>
        <w:rPr>
          <w:rFonts w:hint="eastAsia" w:ascii="仿宋" w:hAnsi="仿宋" w:eastAsia="仿宋" w:cs="仿宋"/>
          <w:color w:val="010101"/>
          <w:sz w:val="32"/>
          <w:szCs w:val="32"/>
          <w:lang w:val="en-US" w:eastAsia="zh-CN"/>
        </w:rPr>
        <w:t>改扩翻中央专项</w:t>
      </w:r>
      <w:r>
        <w:rPr>
          <w:rFonts w:hint="eastAsia" w:ascii="仿宋" w:hAnsi="仿宋" w:eastAsia="仿宋" w:cs="仿宋"/>
          <w:color w:val="010101"/>
          <w:sz w:val="32"/>
          <w:szCs w:val="32"/>
          <w:lang w:eastAsia="zh-CN"/>
        </w:rPr>
        <w:t>）</w:t>
      </w:r>
      <w:r>
        <w:rPr>
          <w:rFonts w:hint="eastAsia" w:ascii="仿宋" w:hAnsi="仿宋" w:eastAsia="仿宋" w:cs="仿宋"/>
          <w:color w:val="010101"/>
          <w:sz w:val="32"/>
          <w:szCs w:val="32"/>
        </w:rPr>
        <w:t>500万元、</w:t>
      </w:r>
      <w:r>
        <w:rPr>
          <w:rFonts w:hint="eastAsia" w:ascii="仿宋" w:hAnsi="仿宋" w:eastAsia="仿宋" w:cs="仿宋"/>
          <w:color w:val="010101"/>
          <w:sz w:val="32"/>
          <w:szCs w:val="32"/>
          <w:lang w:eastAsia="zh-CN"/>
        </w:rPr>
        <w:t>其他支出（</w:t>
      </w:r>
      <w:r>
        <w:rPr>
          <w:rFonts w:hint="eastAsia" w:ascii="仿宋" w:hAnsi="仿宋" w:eastAsia="仿宋" w:cs="仿宋"/>
          <w:color w:val="010101"/>
          <w:sz w:val="32"/>
          <w:szCs w:val="32"/>
        </w:rPr>
        <w:t>棚户区改造</w:t>
      </w:r>
      <w:r>
        <w:rPr>
          <w:rFonts w:hint="eastAsia" w:ascii="仿宋" w:hAnsi="仿宋" w:eastAsia="仿宋" w:cs="仿宋"/>
          <w:color w:val="010101"/>
          <w:sz w:val="32"/>
          <w:szCs w:val="32"/>
          <w:lang w:eastAsia="zh-CN"/>
        </w:rPr>
        <w:t>）</w:t>
      </w:r>
      <w:r>
        <w:rPr>
          <w:rFonts w:hint="eastAsia" w:ascii="仿宋" w:hAnsi="仿宋" w:eastAsia="仿宋" w:cs="仿宋"/>
          <w:color w:val="010101"/>
          <w:sz w:val="32"/>
          <w:szCs w:val="32"/>
        </w:rPr>
        <w:t>355.0</w:t>
      </w:r>
      <w:r>
        <w:rPr>
          <w:rFonts w:hint="eastAsia" w:ascii="仿宋" w:hAnsi="仿宋" w:eastAsia="仿宋" w:cs="仿宋"/>
          <w:color w:val="010101"/>
          <w:sz w:val="32"/>
          <w:szCs w:val="32"/>
          <w:lang w:val="en-US" w:eastAsia="zh-CN"/>
        </w:rPr>
        <w:t>5</w:t>
      </w:r>
      <w:r>
        <w:rPr>
          <w:rFonts w:hint="eastAsia" w:ascii="仿宋" w:hAnsi="仿宋" w:eastAsia="仿宋" w:cs="仿宋"/>
          <w:color w:val="010101"/>
          <w:sz w:val="32"/>
          <w:szCs w:val="32"/>
        </w:rPr>
        <w:t>万元</w:t>
      </w:r>
      <w:r>
        <w:rPr>
          <w:rFonts w:hint="eastAsia" w:ascii="仿宋" w:hAnsi="仿宋" w:eastAsia="仿宋" w:cs="仿宋"/>
          <w:color w:val="010101"/>
          <w:sz w:val="32"/>
          <w:szCs w:val="32"/>
          <w:lang w:eastAsia="zh-CN"/>
        </w:rPr>
        <w:t>。</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color w:val="010101"/>
          <w:kern w:val="0"/>
          <w:sz w:val="32"/>
          <w:szCs w:val="32"/>
        </w:rPr>
      </w:pPr>
      <w:r>
        <w:rPr>
          <w:rFonts w:hint="eastAsia" w:ascii="仿宋" w:hAnsi="仿宋" w:eastAsia="仿宋" w:cs="仿宋"/>
          <w:b/>
          <w:color w:val="010101"/>
          <w:kern w:val="0"/>
          <w:sz w:val="32"/>
          <w:szCs w:val="32"/>
          <w:lang w:eastAsia="zh-CN"/>
        </w:rPr>
        <w:t>二</w:t>
      </w:r>
      <w:r>
        <w:rPr>
          <w:rFonts w:hint="eastAsia" w:ascii="仿宋" w:hAnsi="仿宋" w:eastAsia="仿宋" w:cs="仿宋"/>
          <w:b/>
          <w:color w:val="010101"/>
          <w:kern w:val="0"/>
          <w:sz w:val="32"/>
          <w:szCs w:val="32"/>
        </w:rPr>
        <w:t>、部门专项组织实施情况</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部门专项经费严格预算制度实施，没有一个项目超预算支出。部门专项工作按照上级文件和合同约定执行，资金支付严格按照内部控制程序办理，采取承办单位申报，我单位和财政部门审核后确定并支付。</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color w:val="010101"/>
          <w:kern w:val="0"/>
          <w:sz w:val="32"/>
          <w:szCs w:val="32"/>
        </w:rPr>
      </w:pPr>
      <w:r>
        <w:rPr>
          <w:rFonts w:hint="eastAsia" w:ascii="仿宋" w:hAnsi="仿宋" w:eastAsia="仿宋" w:cs="仿宋"/>
          <w:b/>
          <w:color w:val="010101"/>
          <w:kern w:val="0"/>
          <w:sz w:val="32"/>
          <w:szCs w:val="32"/>
          <w:lang w:eastAsia="zh-CN"/>
        </w:rPr>
        <w:t>三</w:t>
      </w:r>
      <w:r>
        <w:rPr>
          <w:rFonts w:hint="eastAsia" w:ascii="仿宋" w:hAnsi="仿宋" w:eastAsia="仿宋" w:cs="仿宋"/>
          <w:b/>
          <w:color w:val="010101"/>
          <w:kern w:val="0"/>
          <w:sz w:val="32"/>
          <w:szCs w:val="32"/>
        </w:rPr>
        <w:t>、资产管理情况</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sz w:val="32"/>
          <w:szCs w:val="32"/>
        </w:rPr>
        <w:t>2022年，我中心固定资产账面总额 2745.67万元。其中：房屋及构筑物2682.95万元，通用设备49.20万元，专业设备0.54万元，家具、用具、装具及动植物12.98万元。近年来，我中心采取多种措施，切实加强资产管理，</w:t>
      </w:r>
      <w:r>
        <w:rPr>
          <w:rFonts w:hint="eastAsia" w:ascii="仿宋" w:hAnsi="仿宋" w:eastAsia="仿宋" w:cs="仿宋"/>
          <w:color w:val="010101"/>
          <w:kern w:val="0"/>
          <w:sz w:val="32"/>
          <w:szCs w:val="32"/>
        </w:rPr>
        <w:t>严格按照内部控制制度履行审批手续，及时办理采购手续，重大的支出形成党组会议纪要。</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lang w:eastAsia="zh-CN"/>
          <w14:textFill>
            <w14:solidFill>
              <w14:schemeClr w14:val="tx1"/>
            </w14:solidFill>
          </w14:textFill>
        </w:rPr>
        <w:t>四</w:t>
      </w:r>
      <w:r>
        <w:rPr>
          <w:rFonts w:hint="eastAsia" w:ascii="仿宋" w:hAnsi="仿宋" w:eastAsia="仿宋" w:cs="仿宋"/>
          <w:b/>
          <w:bCs/>
          <w:color w:val="000000" w:themeColor="text1"/>
          <w:kern w:val="0"/>
          <w:sz w:val="32"/>
          <w:szCs w:val="32"/>
          <w14:textFill>
            <w14:solidFill>
              <w14:schemeClr w14:val="tx1"/>
            </w14:solidFill>
          </w14:textFill>
        </w:rPr>
        <w:t>、部门整体支出绩效情况</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根据年初工作规划和重点性工作，围绕县委、县政府全面建成小康社会的发展蓝图，积极履职，强化管理，较好的完成了年度工作目标。通过加强预算收支的管理，不断建立健全内部管理制度，理顺内部管理流程，部门整体支出管理情况得到了提升。部门整体支出绩效情况如下：</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b/>
          <w:bCs/>
          <w:color w:val="010101"/>
          <w:kern w:val="0"/>
          <w:sz w:val="32"/>
          <w:szCs w:val="32"/>
        </w:rPr>
        <w:t>（一）经济性评价</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1、本年预算安排控制较好， 总体经费预算总额未突破上年。</w:t>
      </w:r>
    </w:p>
    <w:p>
      <w:pPr>
        <w:keepNext w:val="0"/>
        <w:keepLines w:val="0"/>
        <w:pageBreakBefore w:val="0"/>
        <w:widowControl/>
        <w:shd w:val="clear" w:color="auto" w:fill="FFFFFF"/>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2、预算执行方面，支出总额控制在预算总额以内；本年转移资金支付，不存在截留或滞留专项资金情况。</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bCs/>
          <w:color w:val="010101"/>
          <w:kern w:val="0"/>
          <w:sz w:val="32"/>
          <w:szCs w:val="32"/>
        </w:rPr>
      </w:pPr>
      <w:r>
        <w:rPr>
          <w:rFonts w:hint="eastAsia" w:ascii="仿宋" w:hAnsi="仿宋" w:eastAsia="仿宋" w:cs="仿宋"/>
          <w:b/>
          <w:bCs/>
          <w:color w:val="010101"/>
          <w:kern w:val="0"/>
          <w:sz w:val="32"/>
          <w:szCs w:val="32"/>
        </w:rPr>
        <w:t>（二）行政效能评价</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为强化部门整体支出，加强国有资产管理，提高资金使用效益，提升财务管理，建立节约型事业单位，在强化业务管理、财务管理和厉行节约方面开展了大量工作，效能显著。</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1、在原有相对健全的财务管理制度基础上，适时地、针对性的进行了相关制度的增补，制度的建立更为完善。</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2、重视制度的学习和宣讲工作，并已逐步形成了崇尚厉行节约反对浪费的机关文化。</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3、建立了经费支出定期汇报和公示机制，经费支出的公开透明性得到提高。</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4、根据经费支出情况，定期进行经费支出财务统计和分析，并及时向分管领导和绩效评价领导小组进行汇报，对经费支出的管理状况提出建设性的意见；使各项经费管理和监督发挥了较好的作用。</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5、严格执行了国库集中支付、政府采购等有关规定，政府采购目录内的货物与服务全部按要求实施了政府采购，确保了支出管理流程、审批手续的完整。</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010101"/>
          <w:kern w:val="0"/>
          <w:sz w:val="32"/>
          <w:szCs w:val="32"/>
        </w:rPr>
      </w:pPr>
      <w:r>
        <w:rPr>
          <w:rFonts w:hint="eastAsia" w:ascii="仿宋" w:hAnsi="仿宋" w:eastAsia="仿宋" w:cs="仿宋"/>
          <w:color w:val="010101"/>
          <w:kern w:val="0"/>
          <w:sz w:val="32"/>
          <w:szCs w:val="32"/>
        </w:rPr>
        <w:t>6、加强了会计核算工作。根据新印发的《行政单位会计制度》，进行了全面系统的学习，按照新制度的要求，对财务管理软件进行优化升级，对相关科目的设置进行了补充和调整，提高了财务核算质量。</w:t>
      </w:r>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kern w:val="0"/>
          <w:sz w:val="32"/>
          <w:szCs w:val="32"/>
        </w:rPr>
      </w:pPr>
      <w:r>
        <w:rPr>
          <w:rFonts w:hint="eastAsia" w:ascii="仿宋" w:hAnsi="仿宋" w:eastAsia="仿宋" w:cs="仿宋"/>
          <w:color w:val="010101"/>
          <w:kern w:val="0"/>
          <w:sz w:val="32"/>
          <w:szCs w:val="32"/>
        </w:rPr>
        <w:t>7、</w:t>
      </w:r>
      <w:r>
        <w:rPr>
          <w:rFonts w:hint="eastAsia" w:ascii="仿宋" w:hAnsi="仿宋" w:eastAsia="仿宋" w:cs="仿宋"/>
          <w:kern w:val="0"/>
          <w:sz w:val="32"/>
          <w:szCs w:val="32"/>
        </w:rPr>
        <w:t>针对保障性住房建设实施情况采取了公众评判法的绩效评价方法，采用数量目标和社会效益目标对项目支出的效率性和效益型进行客观、公正、科学的评价，对资金进行绩效跟踪和监控，对项目资金申报预算和目标进行审核、监管，为全面规范开展绩效评价工作奠定了良好基础。</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效益性评价</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sz w:val="32"/>
          <w:szCs w:val="32"/>
        </w:rPr>
        <w:t>规范物业管理，服务质量有效提升</w:t>
      </w:r>
      <w:r>
        <w:rPr>
          <w:rFonts w:hint="eastAsia" w:ascii="仿宋" w:hAnsi="仿宋" w:eastAsia="仿宋" w:cs="仿宋"/>
          <w:b/>
          <w:bCs/>
          <w:sz w:val="32"/>
          <w:szCs w:val="32"/>
        </w:rPr>
        <w:t>。</w:t>
      </w:r>
      <w:r>
        <w:rPr>
          <w:rFonts w:hint="eastAsia" w:ascii="仿宋" w:hAnsi="仿宋" w:eastAsia="仿宋" w:cs="仿宋"/>
          <w:sz w:val="32"/>
          <w:szCs w:val="32"/>
        </w:rPr>
        <w:t>一</w:t>
      </w:r>
      <w:r>
        <w:rPr>
          <w:rFonts w:hint="eastAsia" w:ascii="仿宋" w:hAnsi="仿宋" w:eastAsia="仿宋" w:cs="仿宋"/>
          <w:b/>
          <w:sz w:val="32"/>
          <w:szCs w:val="32"/>
        </w:rPr>
        <w:t>是建立物业管理机制。</w:t>
      </w:r>
      <w:r>
        <w:rPr>
          <w:rFonts w:hint="eastAsia" w:ascii="仿宋" w:hAnsi="仿宋" w:eastAsia="仿宋" w:cs="仿宋"/>
          <w:sz w:val="32"/>
          <w:szCs w:val="32"/>
        </w:rPr>
        <w:t>组织成立溆浦县物业行业管理协会，《全县物业服务企业管理考核办法》，建立了物业网格巡查督导机制和物业服务企业及其服务项目考核机制。</w:t>
      </w:r>
      <w:r>
        <w:rPr>
          <w:rFonts w:hint="eastAsia" w:ascii="仿宋" w:hAnsi="仿宋" w:eastAsia="仿宋" w:cs="仿宋"/>
          <w:b/>
          <w:bCs/>
          <w:sz w:val="32"/>
          <w:szCs w:val="32"/>
        </w:rPr>
        <w:t>二是狠抓物业专</w:t>
      </w:r>
      <w:r>
        <w:rPr>
          <w:rFonts w:hint="eastAsia" w:ascii="仿宋" w:hAnsi="仿宋" w:eastAsia="仿宋" w:cs="仿宋"/>
          <w:b/>
          <w:sz w:val="32"/>
          <w:szCs w:val="32"/>
        </w:rPr>
        <w:t>项整治。</w:t>
      </w:r>
      <w:r>
        <w:rPr>
          <w:rFonts w:hint="eastAsia" w:ascii="仿宋" w:hAnsi="仿宋" w:eastAsia="仿宋" w:cs="仿宋"/>
          <w:bCs/>
          <w:sz w:val="32"/>
          <w:szCs w:val="32"/>
        </w:rPr>
        <w:t>开展</w:t>
      </w:r>
      <w:r>
        <w:rPr>
          <w:rFonts w:hint="eastAsia" w:ascii="仿宋" w:hAnsi="仿宋" w:eastAsia="仿宋" w:cs="仿宋"/>
          <w:sz w:val="32"/>
          <w:szCs w:val="32"/>
        </w:rPr>
        <w:t>联合执法检查30余次，拆除小区内违规搭建25处，整改恢复消防控制室5处，物业小区乱象得到</w:t>
      </w:r>
      <w:r>
        <w:rPr>
          <w:rFonts w:hint="eastAsia" w:ascii="仿宋" w:hAnsi="仿宋" w:eastAsia="仿宋" w:cs="仿宋"/>
          <w:color w:val="000000"/>
          <w:sz w:val="32"/>
          <w:szCs w:val="32"/>
        </w:rPr>
        <w:t>有效</w:t>
      </w:r>
      <w:r>
        <w:rPr>
          <w:rFonts w:hint="eastAsia" w:ascii="仿宋" w:hAnsi="仿宋" w:eastAsia="仿宋" w:cs="仿宋"/>
          <w:sz w:val="32"/>
          <w:szCs w:val="32"/>
        </w:rPr>
        <w:t>管控。</w:t>
      </w:r>
      <w:r>
        <w:rPr>
          <w:rFonts w:hint="eastAsia" w:ascii="仿宋" w:hAnsi="仿宋" w:eastAsia="仿宋" w:cs="仿宋"/>
          <w:b/>
          <w:bCs/>
          <w:sz w:val="32"/>
          <w:szCs w:val="32"/>
        </w:rPr>
        <w:t>三是强化服务能力提升。</w:t>
      </w:r>
      <w:r>
        <w:rPr>
          <w:rFonts w:hint="eastAsia" w:ascii="仿宋" w:hAnsi="仿宋" w:eastAsia="仿宋" w:cs="仿宋"/>
          <w:sz w:val="32"/>
          <w:szCs w:val="32"/>
        </w:rPr>
        <w:t>开展“物业管理你我同行”物业政策法规进小区宣传活动，发放物业服务宣传资料10万余份，集中组织5批次600余人次物业服务从业人员开展电梯运维、消防安全、安保巡逻、保洁卫生等服务培训，成功创建城市今典、绿和家园、滨江雅苑等三个市级文明小区。</w:t>
      </w:r>
      <w:r>
        <w:rPr>
          <w:rFonts w:hint="eastAsia" w:ascii="仿宋" w:hAnsi="仿宋" w:eastAsia="仿宋" w:cs="仿宋"/>
          <w:b/>
          <w:bCs/>
          <w:sz w:val="32"/>
          <w:szCs w:val="32"/>
        </w:rPr>
        <w:t>四是</w:t>
      </w:r>
      <w:r>
        <w:rPr>
          <w:rFonts w:hint="eastAsia" w:ascii="仿宋" w:hAnsi="仿宋" w:eastAsia="仿宋" w:cs="仿宋"/>
          <w:b/>
          <w:sz w:val="32"/>
          <w:szCs w:val="32"/>
        </w:rPr>
        <w:t>规范维修资金使用。</w:t>
      </w:r>
      <w:r>
        <w:rPr>
          <w:rFonts w:hint="eastAsia" w:ascii="仿宋" w:hAnsi="仿宋" w:eastAsia="仿宋" w:cs="仿宋"/>
          <w:bCs/>
          <w:sz w:val="32"/>
          <w:szCs w:val="32"/>
        </w:rPr>
        <w:t>建立</w:t>
      </w:r>
      <w:r>
        <w:rPr>
          <w:rFonts w:hint="eastAsia" w:ascii="仿宋" w:hAnsi="仿宋" w:eastAsia="仿宋" w:cs="仿宋"/>
          <w:sz w:val="32"/>
          <w:szCs w:val="32"/>
        </w:rPr>
        <w:t>房屋维修资金管理系统，制定了物业维修资金使用程序，规范维修资金交存使用监管，累计归集资金3.4045亿元</w:t>
      </w:r>
      <w:r>
        <w:rPr>
          <w:rFonts w:hint="eastAsia" w:ascii="仿宋" w:hAnsi="仿宋" w:eastAsia="仿宋" w:cs="仿宋"/>
          <w:spacing w:val="4"/>
          <w:sz w:val="32"/>
          <w:szCs w:val="32"/>
        </w:rPr>
        <w:t>。</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严格预售监管，房地产业健康发展。一是严格商品房预售审批。</w:t>
      </w:r>
      <w:r>
        <w:rPr>
          <w:rFonts w:hint="eastAsia" w:ascii="仿宋" w:hAnsi="仿宋" w:eastAsia="仿宋" w:cs="仿宋"/>
          <w:sz w:val="32"/>
          <w:szCs w:val="32"/>
        </w:rPr>
        <w:t>2022年全县共批准预售商品房25栋，预售面积21.29万平方米。</w:t>
      </w:r>
      <w:r>
        <w:rPr>
          <w:rFonts w:hint="eastAsia" w:ascii="仿宋" w:hAnsi="仿宋" w:eastAsia="仿宋" w:cs="仿宋"/>
          <w:b/>
          <w:sz w:val="32"/>
          <w:szCs w:val="32"/>
        </w:rPr>
        <w:t>二是规范资金监管使用。</w:t>
      </w:r>
      <w:r>
        <w:rPr>
          <w:rFonts w:hint="eastAsia" w:ascii="仿宋" w:hAnsi="仿宋" w:eastAsia="仿宋" w:cs="仿宋"/>
          <w:sz w:val="32"/>
          <w:szCs w:val="32"/>
        </w:rPr>
        <w:t>对全县14个商品房开发项目全面实施商品房预售资金监管，2022年全年共监管商品房预售资金378笔，使用监管资金7.51亿元。</w:t>
      </w:r>
      <w:r>
        <w:rPr>
          <w:rFonts w:hint="eastAsia" w:ascii="仿宋" w:hAnsi="仿宋" w:eastAsia="仿宋" w:cs="仿宋"/>
          <w:b/>
          <w:bCs/>
          <w:sz w:val="32"/>
          <w:szCs w:val="32"/>
        </w:rPr>
        <w:t>三是化解办证遗留问题。</w:t>
      </w:r>
      <w:r>
        <w:rPr>
          <w:rFonts w:hint="eastAsia" w:ascii="仿宋" w:hAnsi="仿宋" w:eastAsia="仿宋" w:cs="仿宋"/>
          <w:sz w:val="32"/>
          <w:szCs w:val="32"/>
        </w:rPr>
        <w:t>通过政策宣传等方式，积极化解老旧小区无证或房地产开发商遗留问题，协助1600余户购房户办理不动产登记，彻底解决购房户“办证难”问题。</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落实主体责任，加强职工队伍建设。一</w:t>
      </w:r>
      <w:r>
        <w:rPr>
          <w:rFonts w:hint="eastAsia" w:ascii="仿宋" w:hAnsi="仿宋" w:eastAsia="仿宋" w:cs="仿宋"/>
          <w:b/>
          <w:sz w:val="32"/>
          <w:szCs w:val="32"/>
        </w:rPr>
        <w:t>是全面提高职工待遇。</w:t>
      </w:r>
      <w:r>
        <w:rPr>
          <w:rFonts w:hint="eastAsia" w:ascii="仿宋" w:hAnsi="仿宋" w:eastAsia="仿宋" w:cs="仿宋"/>
          <w:bCs/>
          <w:spacing w:val="4"/>
          <w:sz w:val="32"/>
          <w:szCs w:val="32"/>
        </w:rPr>
        <w:t>解决</w:t>
      </w:r>
      <w:r>
        <w:rPr>
          <w:rFonts w:hint="eastAsia" w:ascii="仿宋" w:hAnsi="仿宋" w:eastAsia="仿宋" w:cs="仿宋"/>
          <w:spacing w:val="4"/>
          <w:sz w:val="32"/>
          <w:szCs w:val="32"/>
        </w:rPr>
        <w:t>干部职工历年养老保险和职业年金老欠问题，积极协调各方，及补缴的方式进行，保障了干部职工的正常退休，确保了队伍大局稳定。</w:t>
      </w:r>
      <w:r>
        <w:rPr>
          <w:rFonts w:hint="eastAsia" w:ascii="仿宋" w:hAnsi="仿宋" w:eastAsia="仿宋" w:cs="仿宋"/>
          <w:b/>
          <w:bCs/>
          <w:sz w:val="32"/>
          <w:szCs w:val="32"/>
        </w:rPr>
        <w:t>二是全面加强作风建设。</w:t>
      </w:r>
      <w:r>
        <w:rPr>
          <w:rFonts w:hint="eastAsia" w:ascii="仿宋" w:hAnsi="仿宋" w:eastAsia="仿宋" w:cs="仿宋"/>
          <w:sz w:val="32"/>
          <w:szCs w:val="32"/>
        </w:rPr>
        <w:t>出台《严肃工作纪律加强作风建设的有关规定》，25人次因上班迟到、早退、旷工被扣发奖金近3万余元，进一步严肃工作纪律。</w:t>
      </w:r>
      <w:r>
        <w:rPr>
          <w:rFonts w:hint="eastAsia" w:ascii="仿宋" w:hAnsi="仿宋" w:eastAsia="仿宋" w:cs="仿宋"/>
          <w:b/>
          <w:sz w:val="32"/>
          <w:szCs w:val="32"/>
        </w:rPr>
        <w:t>三</w:t>
      </w:r>
      <w:r>
        <w:rPr>
          <w:rFonts w:hint="eastAsia" w:ascii="仿宋" w:hAnsi="仿宋" w:eastAsia="仿宋" w:cs="仿宋"/>
          <w:b/>
          <w:bCs/>
          <w:sz w:val="32"/>
          <w:szCs w:val="32"/>
        </w:rPr>
        <w:t>是全面提升职工素质。</w:t>
      </w:r>
      <w:r>
        <w:rPr>
          <w:rFonts w:hint="eastAsia" w:ascii="仿宋" w:hAnsi="仿宋" w:eastAsia="仿宋" w:cs="仿宋"/>
          <w:sz w:val="32"/>
          <w:szCs w:val="32"/>
        </w:rPr>
        <w:t>开展“提素质、强本领、讲担当、树形象”教育活动，组织全体干部职工开展政策、法规、业务等知识轮训，实行业务闭卷测试成绩并与奖金挂钩，营造了人人会业务、懂业务的工作氛围。</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r>
        <w:rPr>
          <w:rFonts w:hint="eastAsia" w:ascii="仿宋" w:hAnsi="仿宋" w:eastAsia="仿宋" w:cs="仿宋"/>
          <w:b/>
          <w:sz w:val="32"/>
          <w:szCs w:val="32"/>
          <w:lang w:val="en-US" w:eastAsia="zh-CN"/>
        </w:rPr>
        <w:t>4、</w:t>
      </w:r>
      <w:r>
        <w:rPr>
          <w:rFonts w:hint="eastAsia" w:ascii="仿宋" w:hAnsi="仿宋" w:eastAsia="仿宋" w:cs="仿宋"/>
          <w:b/>
          <w:sz w:val="32"/>
          <w:szCs w:val="32"/>
        </w:rPr>
        <w:t>坚持以人为本，住房保障不断加强</w:t>
      </w:r>
      <w:r>
        <w:rPr>
          <w:rFonts w:hint="eastAsia" w:ascii="仿宋" w:hAnsi="仿宋" w:eastAsia="仿宋" w:cs="仿宋"/>
          <w:b/>
          <w:bCs/>
          <w:sz w:val="32"/>
          <w:szCs w:val="32"/>
        </w:rPr>
        <w:t>。一是加大住房保障。</w:t>
      </w:r>
      <w:r>
        <w:rPr>
          <w:rFonts w:hint="eastAsia" w:ascii="仿宋" w:hAnsi="仿宋" w:eastAsia="仿宋" w:cs="仿宋"/>
          <w:sz w:val="32"/>
          <w:szCs w:val="32"/>
        </w:rPr>
        <w:t>累计建成保障性住房17999套，其中新建公租房6756套，改造城市棚户区9246套，改造工矿棚户区1997套，共计发放住房租赁补贴13182户，共有31181户中低收入家庭住房困难得到有效缓解，实现“住有所居”。</w:t>
      </w:r>
      <w:r>
        <w:rPr>
          <w:rFonts w:hint="eastAsia" w:ascii="仿宋" w:hAnsi="仿宋" w:eastAsia="仿宋" w:cs="仿宋"/>
          <w:b/>
          <w:bCs/>
          <w:sz w:val="32"/>
          <w:szCs w:val="32"/>
        </w:rPr>
        <w:t>二是规范公租房管理。</w:t>
      </w:r>
      <w:r>
        <w:rPr>
          <w:rFonts w:hint="eastAsia" w:ascii="仿宋" w:hAnsi="仿宋" w:eastAsia="仿宋" w:cs="仿宋"/>
          <w:sz w:val="32"/>
          <w:szCs w:val="32"/>
        </w:rPr>
        <w:t>开展专项清查整治，实施</w:t>
      </w:r>
      <w:r>
        <w:rPr>
          <w:rFonts w:hint="eastAsia" w:ascii="仿宋" w:hAnsi="仿宋" w:eastAsia="仿宋" w:cs="仿宋"/>
          <w:bCs/>
          <w:sz w:val="32"/>
          <w:szCs w:val="32"/>
        </w:rPr>
        <w:t>联户网格管理，</w:t>
      </w:r>
      <w:r>
        <w:rPr>
          <w:rFonts w:hint="eastAsia" w:ascii="仿宋" w:hAnsi="仿宋" w:eastAsia="仿宋" w:cs="仿宋"/>
          <w:sz w:val="32"/>
          <w:szCs w:val="32"/>
        </w:rPr>
        <w:t>重点清理458户不符合配租条件的保障对象，限期整改412起，清退住房53套，湖南日报对我县公租房的管理整治工作刊发文章给予肯定。</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r>
        <w:rPr>
          <w:rFonts w:hint="eastAsia" w:ascii="仿宋" w:hAnsi="仿宋" w:eastAsia="仿宋" w:cs="仿宋"/>
          <w:b/>
          <w:sz w:val="32"/>
          <w:szCs w:val="32"/>
          <w:lang w:eastAsia="zh-CN"/>
        </w:rPr>
        <w:t>五</w:t>
      </w:r>
      <w:r>
        <w:rPr>
          <w:rFonts w:hint="eastAsia" w:ascii="仿宋" w:hAnsi="仿宋" w:eastAsia="仿宋" w:cs="仿宋"/>
          <w:b/>
          <w:sz w:val="32"/>
          <w:szCs w:val="32"/>
        </w:rPr>
        <w:t>、存在的主要问题</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sz w:val="32"/>
          <w:szCs w:val="32"/>
        </w:rPr>
        <w:t>（一）住房保障发展不平衡不充分。一是住房供需矛盾大。</w:t>
      </w:r>
      <w:r>
        <w:rPr>
          <w:rFonts w:hint="eastAsia" w:ascii="仿宋" w:hAnsi="仿宋" w:eastAsia="仿宋" w:cs="仿宋"/>
          <w:bCs/>
          <w:sz w:val="32"/>
          <w:szCs w:val="32"/>
        </w:rPr>
        <w:t>根据现有住房保障政策，保障范围扩宽到中等偏下收入住房困难家庭、新就业无房职工和在城镇稳定就业的外来务工人员。目前，已提出</w:t>
      </w:r>
      <w:r>
        <w:rPr>
          <w:rFonts w:hint="eastAsia" w:ascii="仿宋" w:hAnsi="仿宋" w:eastAsia="仿宋" w:cs="仿宋"/>
          <w:sz w:val="32"/>
          <w:szCs w:val="32"/>
        </w:rPr>
        <w:t>申请解决住房困难的1220户，</w:t>
      </w:r>
      <w:r>
        <w:rPr>
          <w:rFonts w:hint="eastAsia" w:ascii="仿宋" w:hAnsi="仿宋" w:eastAsia="仿宋" w:cs="仿宋"/>
          <w:bCs/>
          <w:sz w:val="32"/>
          <w:szCs w:val="32"/>
        </w:rPr>
        <w:t>轮候登记的450户，</w:t>
      </w:r>
      <w:r>
        <w:rPr>
          <w:rFonts w:hint="eastAsia" w:ascii="仿宋" w:hAnsi="仿宋" w:eastAsia="仿宋" w:cs="仿宋"/>
          <w:sz w:val="32"/>
          <w:szCs w:val="32"/>
        </w:rPr>
        <w:t>同时，</w:t>
      </w:r>
      <w:r>
        <w:rPr>
          <w:rFonts w:hint="eastAsia" w:ascii="仿宋" w:hAnsi="仿宋" w:eastAsia="仿宋" w:cs="仿宋"/>
          <w:bCs/>
          <w:sz w:val="32"/>
          <w:szCs w:val="32"/>
        </w:rPr>
        <w:t>按新增就业人数计算，预计每年有600人</w:t>
      </w:r>
      <w:r>
        <w:rPr>
          <w:rFonts w:hint="eastAsia" w:ascii="仿宋" w:hAnsi="仿宋" w:eastAsia="仿宋" w:cs="仿宋"/>
          <w:sz w:val="32"/>
          <w:szCs w:val="32"/>
        </w:rPr>
        <w:t>需要提供住房保障，</w:t>
      </w:r>
      <w:r>
        <w:rPr>
          <w:rFonts w:hint="eastAsia" w:ascii="仿宋" w:hAnsi="仿宋" w:eastAsia="仿宋" w:cs="仿宋"/>
          <w:bCs/>
          <w:sz w:val="32"/>
          <w:szCs w:val="32"/>
        </w:rPr>
        <w:t>2015年后我县未新建公租房，</w:t>
      </w:r>
      <w:r>
        <w:rPr>
          <w:rFonts w:hint="eastAsia" w:ascii="仿宋" w:hAnsi="仿宋" w:eastAsia="仿宋" w:cs="仿宋"/>
          <w:sz w:val="32"/>
          <w:szCs w:val="32"/>
        </w:rPr>
        <w:t>供需矛盾逐渐突出。</w:t>
      </w:r>
      <w:r>
        <w:rPr>
          <w:rFonts w:hint="eastAsia" w:ascii="仿宋" w:hAnsi="仿宋" w:eastAsia="仿宋" w:cs="仿宋"/>
          <w:b/>
          <w:sz w:val="32"/>
          <w:szCs w:val="32"/>
        </w:rPr>
        <w:t>二是动态管理难度大。</w:t>
      </w:r>
      <w:r>
        <w:rPr>
          <w:rFonts w:hint="eastAsia" w:ascii="仿宋" w:hAnsi="仿宋" w:eastAsia="仿宋" w:cs="仿宋"/>
          <w:sz w:val="32"/>
          <w:szCs w:val="32"/>
        </w:rPr>
        <w:t>住房保障管理涉及公安、民政、交管、市监等多部门，尚未建立互联互审机制，造成管理退出上一定的困难，特别是入住公租房的人群大多是低收入困难家庭，条件困难，人群复杂，有移民户、火灾户、强拆户、信访户、退伍老兵等，拒交租金，不合理使用公租房，后期维修任务重。</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sz w:val="32"/>
          <w:szCs w:val="32"/>
        </w:rPr>
        <w:t>（二）物业行业治理尚未形成合力。</w:t>
      </w:r>
      <w:r>
        <w:rPr>
          <w:rFonts w:hint="eastAsia" w:ascii="仿宋" w:hAnsi="仿宋" w:eastAsia="仿宋" w:cs="仿宋"/>
          <w:sz w:val="32"/>
          <w:szCs w:val="32"/>
        </w:rPr>
        <w:t>我县物业管理行业起步晚，涉及职能管理部门多，业主素质不一，特别是职能部门、乡镇人民政府、街道社区、业主委员会、开发企业、物业服务企业未形成合力，引发矛盾较多，管理难度较大，主要表现在开发商配套设施未到位以及房屋质量问题引发投诉多，物业从业人员服务意识不强、服务行为不规范以及</w:t>
      </w:r>
      <w:r>
        <w:rPr>
          <w:rFonts w:hint="eastAsia" w:ascii="仿宋" w:hAnsi="仿宋" w:eastAsia="仿宋" w:cs="仿宋"/>
          <w:bCs/>
          <w:sz w:val="32"/>
          <w:szCs w:val="32"/>
        </w:rPr>
        <w:t>部分业主物业消费意识淡薄</w:t>
      </w:r>
      <w:r>
        <w:rPr>
          <w:rFonts w:hint="eastAsia" w:ascii="仿宋" w:hAnsi="仿宋" w:eastAsia="仿宋" w:cs="仿宋"/>
          <w:sz w:val="32"/>
          <w:szCs w:val="32"/>
        </w:rPr>
        <w:t>，对服务不满就拒交物业费，影响到小区业主的生活和谐。</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r>
        <w:rPr>
          <w:rFonts w:hint="eastAsia" w:ascii="仿宋" w:hAnsi="仿宋" w:eastAsia="仿宋" w:cs="仿宋"/>
          <w:b/>
          <w:sz w:val="32"/>
          <w:szCs w:val="32"/>
          <w:lang w:eastAsia="zh-CN"/>
        </w:rPr>
        <w:t>六</w:t>
      </w:r>
      <w:r>
        <w:rPr>
          <w:rFonts w:hint="eastAsia" w:ascii="仿宋" w:hAnsi="仿宋" w:eastAsia="仿宋" w:cs="仿宋"/>
          <w:b/>
          <w:sz w:val="32"/>
          <w:szCs w:val="32"/>
        </w:rPr>
        <w:t>、改进措施和有关建议</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sz w:val="32"/>
          <w:szCs w:val="32"/>
        </w:rPr>
        <w:t>（一）抓好住房保障，加快满足困难家庭住房需求。一是加大公租房安全巡查。</w:t>
      </w:r>
      <w:r>
        <w:rPr>
          <w:rFonts w:hint="eastAsia" w:ascii="仿宋" w:hAnsi="仿宋" w:eastAsia="仿宋" w:cs="仿宋"/>
          <w:sz w:val="32"/>
          <w:szCs w:val="32"/>
        </w:rPr>
        <w:t>落实住房网格管理，针对存在安全隐患的住房，及时加固修缮解危，保证居住安全。</w:t>
      </w:r>
      <w:r>
        <w:rPr>
          <w:rFonts w:hint="eastAsia" w:ascii="仿宋" w:hAnsi="仿宋" w:eastAsia="仿宋" w:cs="仿宋"/>
          <w:b/>
          <w:sz w:val="32"/>
          <w:szCs w:val="32"/>
        </w:rPr>
        <w:t>二是切实抓好后续管理。</w:t>
      </w:r>
      <w:r>
        <w:rPr>
          <w:rFonts w:hint="eastAsia" w:ascii="仿宋" w:hAnsi="仿宋" w:eastAsia="仿宋" w:cs="仿宋"/>
          <w:bCs/>
          <w:sz w:val="32"/>
          <w:szCs w:val="32"/>
        </w:rPr>
        <w:t>加快保障性住房综合信息服务平台建设，建立联合审查和巡查跟踪制度，对违规转租转让公租房行为，严格按照规定处理。</w:t>
      </w:r>
      <w:r>
        <w:rPr>
          <w:rFonts w:hint="eastAsia" w:ascii="仿宋" w:hAnsi="仿宋" w:eastAsia="仿宋" w:cs="仿宋"/>
          <w:b/>
          <w:sz w:val="32"/>
          <w:szCs w:val="32"/>
        </w:rPr>
        <w:t>三是加大国有资产保值增收。</w:t>
      </w:r>
      <w:r>
        <w:rPr>
          <w:rFonts w:hint="eastAsia" w:ascii="仿宋" w:hAnsi="仿宋" w:eastAsia="仿宋" w:cs="仿宋"/>
          <w:sz w:val="32"/>
          <w:szCs w:val="32"/>
        </w:rPr>
        <w:t>加快不良资产的公开处置，盘活现有资产的最大效益，确保国有资产不流失。</w:t>
      </w:r>
    </w:p>
    <w:p>
      <w:pPr>
        <w:pStyle w:val="5"/>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333333"/>
          <w:sz w:val="32"/>
          <w:szCs w:val="32"/>
        </w:rPr>
      </w:pPr>
      <w:r>
        <w:rPr>
          <w:rFonts w:hint="eastAsia" w:ascii="仿宋" w:hAnsi="仿宋" w:eastAsia="仿宋" w:cs="仿宋"/>
          <w:b/>
          <w:color w:val="333333"/>
          <w:sz w:val="32"/>
          <w:szCs w:val="32"/>
        </w:rPr>
        <w:t>（二）加强政策学习，提高思想认识</w:t>
      </w:r>
      <w:r>
        <w:rPr>
          <w:rFonts w:hint="eastAsia" w:ascii="仿宋" w:hAnsi="仿宋" w:eastAsia="仿宋" w:cs="仿宋"/>
          <w:color w:val="333333"/>
          <w:sz w:val="32"/>
          <w:szCs w:val="32"/>
        </w:rPr>
        <w:t>。认真学习《预算法》等相关法规、制度，提高对全面预算管理的重视程度，增强财务人员的预算意识，坚持先有预算、后有支出，没有预算不得支出。</w:t>
      </w:r>
    </w:p>
    <w:p>
      <w:pPr>
        <w:pStyle w:val="5"/>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color w:val="333333"/>
          <w:sz w:val="32"/>
          <w:szCs w:val="32"/>
        </w:rPr>
      </w:pPr>
      <w:r>
        <w:rPr>
          <w:rFonts w:hint="eastAsia" w:ascii="仿宋" w:hAnsi="仿宋" w:eastAsia="仿宋" w:cs="仿宋"/>
          <w:b/>
          <w:color w:val="333333"/>
          <w:sz w:val="32"/>
          <w:szCs w:val="32"/>
        </w:rPr>
        <w:t>（三）规范账务处理，提高财务信息质量。</w:t>
      </w:r>
      <w:r>
        <w:rPr>
          <w:rFonts w:hint="eastAsia" w:ascii="仿宋" w:hAnsi="仿宋" w:eastAsia="仿宋" w:cs="仿宋"/>
          <w:color w:val="333333"/>
          <w:sz w:val="32"/>
          <w:szCs w:val="32"/>
        </w:rPr>
        <w:t>严格按照《会计法》、《事业单位会计制度》、《事业单位财务规则》等规定执行财务核算，并结合实际情况，完整、准确地披露相关信息，尽可能地做到决算与预算相衔接。</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sz w:val="32"/>
          <w:szCs w:val="32"/>
        </w:rPr>
      </w:pPr>
      <w:r>
        <w:rPr>
          <w:rFonts w:hint="eastAsia" w:ascii="仿宋" w:hAnsi="仿宋" w:eastAsia="仿宋" w:cs="仿宋"/>
          <w:b/>
          <w:sz w:val="32"/>
          <w:szCs w:val="32"/>
        </w:rPr>
        <w:t>（四）建议财政有关部门开展相关的业务工作培训。</w:t>
      </w:r>
      <w:r>
        <w:rPr>
          <w:rFonts w:hint="eastAsia" w:ascii="仿宋" w:hAnsi="仿宋" w:eastAsia="仿宋" w:cs="仿宋"/>
          <w:sz w:val="32"/>
          <w:szCs w:val="32"/>
        </w:rPr>
        <w:t>组织部门之间、单位之间进行经验交流，注重对单位的督促指导，切实推进绩效评价工作。</w:t>
      </w: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rPr>
      </w:pPr>
    </w:p>
    <w:p>
      <w:pPr>
        <w:keepNext w:val="0"/>
        <w:keepLines w:val="0"/>
        <w:pageBreakBefore w:val="0"/>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b/>
          <w:sz w:val="32"/>
          <w:szCs w:val="32"/>
          <w:lang w:val="en-US" w:eastAsia="zh-CN"/>
        </w:rPr>
      </w:pPr>
      <w:r>
        <w:rPr>
          <w:rFonts w:hint="eastAsia" w:ascii="仿宋" w:hAnsi="仿宋" w:eastAsia="仿宋" w:cs="仿宋"/>
          <w:b/>
          <w:sz w:val="32"/>
          <w:szCs w:val="32"/>
        </w:rPr>
        <w:t xml:space="preserve">                              </w:t>
      </w:r>
      <w:bookmarkStart w:id="0" w:name="_GoBack"/>
      <w:bookmarkEnd w:id="0"/>
    </w:p>
    <w:p>
      <w:pPr>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firstLine="614" w:firstLineChars="200"/>
        <w:jc w:val="both"/>
        <w:rPr>
          <w:rFonts w:hint="eastAsia" w:ascii="仿宋" w:hAnsi="仿宋" w:eastAsia="仿宋" w:cs="仿宋"/>
          <w:kern w:val="0"/>
          <w:sz w:val="32"/>
          <w:szCs w:val="32"/>
        </w:rPr>
      </w:pPr>
    </w:p>
    <w:p>
      <w:pPr>
        <w:pStyle w:val="5"/>
        <w:keepNext w:val="0"/>
        <w:keepLines w:val="0"/>
        <w:pageBreakBefore w:val="0"/>
        <w:widowControl/>
        <w:kinsoku/>
        <w:wordWrap/>
        <w:overflowPunct/>
        <w:topLinePunct w:val="0"/>
        <w:autoSpaceDE/>
        <w:autoSpaceDN/>
        <w:bidi w:val="0"/>
        <w:adjustRightInd/>
        <w:snapToGrid/>
        <w:spacing w:before="149" w:beforeLines="50" w:after="10" w:afterAutospacing="0" w:line="360" w:lineRule="auto"/>
        <w:ind w:right="300"/>
        <w:jc w:val="right"/>
        <w:rPr>
          <w:rFonts w:ascii="仿宋_GB2312" w:hAnsi="仿宋_GB2312" w:eastAsia="仿宋_GB2312" w:cs="仿宋_GB2312"/>
          <w:sz w:val="32"/>
          <w:szCs w:val="32"/>
        </w:rPr>
      </w:pPr>
    </w:p>
    <w:sectPr>
      <w:headerReference r:id="rId3" w:type="default"/>
      <w:pgSz w:w="11906" w:h="16838"/>
      <w:pgMar w:top="2041" w:right="1531" w:bottom="2041" w:left="1531" w:header="851" w:footer="992" w:gutter="0"/>
      <w:cols w:space="0" w:num="1"/>
      <w:rtlGutter w:val="0"/>
      <w:docGrid w:type="linesAndChars" w:linePitch="296" w:charSpace="-275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98"/>
  <w:drawingGridVerticalSpacing w:val="148"/>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6D43AE"/>
    <w:rsid w:val="000265C9"/>
    <w:rsid w:val="00051C4E"/>
    <w:rsid w:val="00061DB0"/>
    <w:rsid w:val="0007768F"/>
    <w:rsid w:val="000A0845"/>
    <w:rsid w:val="000F13F9"/>
    <w:rsid w:val="001336D3"/>
    <w:rsid w:val="001354F1"/>
    <w:rsid w:val="00144E2E"/>
    <w:rsid w:val="001773B7"/>
    <w:rsid w:val="0019380D"/>
    <w:rsid w:val="00195B8F"/>
    <w:rsid w:val="00197285"/>
    <w:rsid w:val="001A3305"/>
    <w:rsid w:val="001D2B3F"/>
    <w:rsid w:val="001D3376"/>
    <w:rsid w:val="0021146F"/>
    <w:rsid w:val="00211706"/>
    <w:rsid w:val="002123F0"/>
    <w:rsid w:val="002661F8"/>
    <w:rsid w:val="00266787"/>
    <w:rsid w:val="00273597"/>
    <w:rsid w:val="00295FA6"/>
    <w:rsid w:val="002A4733"/>
    <w:rsid w:val="002C7752"/>
    <w:rsid w:val="00302C94"/>
    <w:rsid w:val="00334FC5"/>
    <w:rsid w:val="0033557C"/>
    <w:rsid w:val="00350C10"/>
    <w:rsid w:val="003668FD"/>
    <w:rsid w:val="003816B9"/>
    <w:rsid w:val="00395DCD"/>
    <w:rsid w:val="003B5642"/>
    <w:rsid w:val="003F6B37"/>
    <w:rsid w:val="00446F7E"/>
    <w:rsid w:val="00456B01"/>
    <w:rsid w:val="0046510C"/>
    <w:rsid w:val="00472D1B"/>
    <w:rsid w:val="00496D28"/>
    <w:rsid w:val="004C1A77"/>
    <w:rsid w:val="004D2D99"/>
    <w:rsid w:val="004D33D7"/>
    <w:rsid w:val="004E2CED"/>
    <w:rsid w:val="005668EC"/>
    <w:rsid w:val="005843E2"/>
    <w:rsid w:val="005859C0"/>
    <w:rsid w:val="00592E42"/>
    <w:rsid w:val="005D3571"/>
    <w:rsid w:val="005D67F5"/>
    <w:rsid w:val="005E0817"/>
    <w:rsid w:val="005E5379"/>
    <w:rsid w:val="006213B6"/>
    <w:rsid w:val="00630DDA"/>
    <w:rsid w:val="00643456"/>
    <w:rsid w:val="006541E2"/>
    <w:rsid w:val="00664314"/>
    <w:rsid w:val="006736BF"/>
    <w:rsid w:val="0067456E"/>
    <w:rsid w:val="0069493B"/>
    <w:rsid w:val="00696C94"/>
    <w:rsid w:val="006D3EFA"/>
    <w:rsid w:val="006D43AE"/>
    <w:rsid w:val="006F4FE4"/>
    <w:rsid w:val="006F760C"/>
    <w:rsid w:val="00715056"/>
    <w:rsid w:val="00745370"/>
    <w:rsid w:val="00770D87"/>
    <w:rsid w:val="007732FC"/>
    <w:rsid w:val="007A334C"/>
    <w:rsid w:val="007C04C6"/>
    <w:rsid w:val="007C5F8C"/>
    <w:rsid w:val="007D6686"/>
    <w:rsid w:val="007E1D86"/>
    <w:rsid w:val="007F6980"/>
    <w:rsid w:val="00801B12"/>
    <w:rsid w:val="00824A90"/>
    <w:rsid w:val="00851A4C"/>
    <w:rsid w:val="00851B5E"/>
    <w:rsid w:val="00873CFE"/>
    <w:rsid w:val="00874751"/>
    <w:rsid w:val="00883437"/>
    <w:rsid w:val="00884951"/>
    <w:rsid w:val="008A1FF2"/>
    <w:rsid w:val="008C2E6A"/>
    <w:rsid w:val="00916A70"/>
    <w:rsid w:val="00925E5F"/>
    <w:rsid w:val="0095381D"/>
    <w:rsid w:val="009720D8"/>
    <w:rsid w:val="00975D9B"/>
    <w:rsid w:val="0099241D"/>
    <w:rsid w:val="009925A2"/>
    <w:rsid w:val="009C14C3"/>
    <w:rsid w:val="009C181D"/>
    <w:rsid w:val="009C5E2E"/>
    <w:rsid w:val="009E566F"/>
    <w:rsid w:val="009F5000"/>
    <w:rsid w:val="00A32DC5"/>
    <w:rsid w:val="00A47581"/>
    <w:rsid w:val="00A66068"/>
    <w:rsid w:val="00A800DA"/>
    <w:rsid w:val="00AA7601"/>
    <w:rsid w:val="00AD73C1"/>
    <w:rsid w:val="00AD7824"/>
    <w:rsid w:val="00AF0D89"/>
    <w:rsid w:val="00B005FA"/>
    <w:rsid w:val="00B22868"/>
    <w:rsid w:val="00B31FD9"/>
    <w:rsid w:val="00B52F96"/>
    <w:rsid w:val="00B625ED"/>
    <w:rsid w:val="00B64D68"/>
    <w:rsid w:val="00B772CE"/>
    <w:rsid w:val="00B87A82"/>
    <w:rsid w:val="00B91BD9"/>
    <w:rsid w:val="00B96D2A"/>
    <w:rsid w:val="00BA2A89"/>
    <w:rsid w:val="00BB3582"/>
    <w:rsid w:val="00BE66F4"/>
    <w:rsid w:val="00BF0DC1"/>
    <w:rsid w:val="00BF11DD"/>
    <w:rsid w:val="00C254AC"/>
    <w:rsid w:val="00C457CC"/>
    <w:rsid w:val="00C545E1"/>
    <w:rsid w:val="00C60F6F"/>
    <w:rsid w:val="00CB4AEB"/>
    <w:rsid w:val="00CC13E4"/>
    <w:rsid w:val="00CD250C"/>
    <w:rsid w:val="00CD3667"/>
    <w:rsid w:val="00CD4E43"/>
    <w:rsid w:val="00CD665B"/>
    <w:rsid w:val="00D065D3"/>
    <w:rsid w:val="00D10FB6"/>
    <w:rsid w:val="00D1159A"/>
    <w:rsid w:val="00D12999"/>
    <w:rsid w:val="00D3182D"/>
    <w:rsid w:val="00D441E5"/>
    <w:rsid w:val="00D825E1"/>
    <w:rsid w:val="00D83292"/>
    <w:rsid w:val="00D936AD"/>
    <w:rsid w:val="00D94829"/>
    <w:rsid w:val="00DA79B4"/>
    <w:rsid w:val="00DB59B9"/>
    <w:rsid w:val="00DE1BCF"/>
    <w:rsid w:val="00E03151"/>
    <w:rsid w:val="00E0454E"/>
    <w:rsid w:val="00E05606"/>
    <w:rsid w:val="00E17CA8"/>
    <w:rsid w:val="00E22D85"/>
    <w:rsid w:val="00E31164"/>
    <w:rsid w:val="00E42BBD"/>
    <w:rsid w:val="00E44624"/>
    <w:rsid w:val="00E469A7"/>
    <w:rsid w:val="00E72CB2"/>
    <w:rsid w:val="00E81A69"/>
    <w:rsid w:val="00E923E5"/>
    <w:rsid w:val="00EA0C29"/>
    <w:rsid w:val="00EA2ECA"/>
    <w:rsid w:val="00EA35A8"/>
    <w:rsid w:val="00EB1609"/>
    <w:rsid w:val="00EC6BDF"/>
    <w:rsid w:val="00EC7D4F"/>
    <w:rsid w:val="00ED064A"/>
    <w:rsid w:val="00EF0813"/>
    <w:rsid w:val="00F10F78"/>
    <w:rsid w:val="00F16F80"/>
    <w:rsid w:val="00F200B2"/>
    <w:rsid w:val="00F245FE"/>
    <w:rsid w:val="00F26B45"/>
    <w:rsid w:val="00F315AC"/>
    <w:rsid w:val="00F400A4"/>
    <w:rsid w:val="00F413C9"/>
    <w:rsid w:val="00F820F6"/>
    <w:rsid w:val="00F936F3"/>
    <w:rsid w:val="00F96CB2"/>
    <w:rsid w:val="00FC2813"/>
    <w:rsid w:val="00FC6614"/>
    <w:rsid w:val="00FC7270"/>
    <w:rsid w:val="00FF0FFE"/>
    <w:rsid w:val="00FF46E7"/>
    <w:rsid w:val="029A3AEC"/>
    <w:rsid w:val="06B8583B"/>
    <w:rsid w:val="07DE427B"/>
    <w:rsid w:val="08BA4CE8"/>
    <w:rsid w:val="09B32C29"/>
    <w:rsid w:val="0FA1275E"/>
    <w:rsid w:val="11D36838"/>
    <w:rsid w:val="132C68F7"/>
    <w:rsid w:val="13946167"/>
    <w:rsid w:val="14904172"/>
    <w:rsid w:val="14B62AA0"/>
    <w:rsid w:val="157519F8"/>
    <w:rsid w:val="16610141"/>
    <w:rsid w:val="16E065D9"/>
    <w:rsid w:val="1C305090"/>
    <w:rsid w:val="1F6F4611"/>
    <w:rsid w:val="20EE2AB1"/>
    <w:rsid w:val="25C72EA6"/>
    <w:rsid w:val="278163C9"/>
    <w:rsid w:val="28930270"/>
    <w:rsid w:val="28D04FBB"/>
    <w:rsid w:val="291C3E07"/>
    <w:rsid w:val="2D4331C7"/>
    <w:rsid w:val="32744EBB"/>
    <w:rsid w:val="353D0D4C"/>
    <w:rsid w:val="36CA165F"/>
    <w:rsid w:val="36E4769C"/>
    <w:rsid w:val="40781025"/>
    <w:rsid w:val="41DC0740"/>
    <w:rsid w:val="4656057E"/>
    <w:rsid w:val="4A4778A1"/>
    <w:rsid w:val="4B836322"/>
    <w:rsid w:val="4BAC7C25"/>
    <w:rsid w:val="4CAA2530"/>
    <w:rsid w:val="504306EC"/>
    <w:rsid w:val="54AC7075"/>
    <w:rsid w:val="587E320C"/>
    <w:rsid w:val="5BAE78A1"/>
    <w:rsid w:val="5D785C88"/>
    <w:rsid w:val="5F5D2D79"/>
    <w:rsid w:val="636A3FB1"/>
    <w:rsid w:val="651B4283"/>
    <w:rsid w:val="6579057E"/>
    <w:rsid w:val="6A582B8E"/>
    <w:rsid w:val="6B2B47CB"/>
    <w:rsid w:val="6C3655B7"/>
    <w:rsid w:val="6F076936"/>
    <w:rsid w:val="7C104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ascii="Calibri" w:hAnsi="Calibri"/>
      <w:kern w:val="0"/>
      <w:sz w:val="24"/>
    </w:rPr>
  </w:style>
  <w:style w:type="character" w:styleId="8">
    <w:name w:val="Strong"/>
    <w:basedOn w:val="7"/>
    <w:qFormat/>
    <w:uiPriority w:val="0"/>
    <w:rPr>
      <w:b/>
      <w:bCs/>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3617</Words>
  <Characters>3769</Characters>
  <Lines>27</Lines>
  <Paragraphs>7</Paragraphs>
  <TotalTime>19</TotalTime>
  <ScaleCrop>false</ScaleCrop>
  <LinksUpToDate>false</LinksUpToDate>
  <CharactersWithSpaces>3803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2019-06-20T03:37:00Z</dcterms:created>
  <dc:creator>User</dc:creator>
  <cp:lastModifiedBy>Administrator</cp:lastModifiedBy>
  <cp:lastPrinted>2023-06-05T04:10:00Z</cp:lastPrinted>
  <dcterms:modified xsi:type="dcterms:W3CDTF">2023-08-18T03:22:37Z</dcterms:modified>
  <dc:title>溆浦县司法局部门整体支出绩效自评报告</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6D9A9B5B44844E1ABF520B19006FED73_13</vt:lpwstr>
  </property>
</Properties>
</file>