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80" w:firstLineChars="300"/>
        <w:rPr>
          <w:rFonts w:ascii="黑体" w:hAnsi="黑体" w:eastAsia="黑体" w:cs="黑体"/>
          <w:sz w:val="36"/>
          <w:szCs w:val="36"/>
        </w:rPr>
      </w:pPr>
    </w:p>
    <w:p>
      <w:pPr>
        <w:jc w:val="center"/>
        <w:rPr>
          <w:rFonts w:hint="eastAsia" w:ascii="黑体" w:hAnsi="黑体" w:eastAsia="黑体" w:cs="黑体"/>
          <w:sz w:val="36"/>
          <w:szCs w:val="36"/>
        </w:rPr>
      </w:pPr>
      <w:r>
        <w:rPr>
          <w:rFonts w:hint="eastAsia" w:ascii="黑体" w:hAnsi="黑体" w:eastAsia="黑体" w:cs="黑体"/>
          <w:sz w:val="36"/>
          <w:szCs w:val="36"/>
        </w:rPr>
        <w:t>溆浦县人民代表大会常务委员会</w:t>
      </w:r>
      <w:r>
        <w:rPr>
          <w:rFonts w:ascii="黑体" w:hAnsi="黑体" w:eastAsia="黑体" w:cs="黑体"/>
          <w:sz w:val="36"/>
          <w:szCs w:val="36"/>
        </w:rPr>
        <w:t>202</w:t>
      </w:r>
      <w:r>
        <w:rPr>
          <w:rFonts w:hint="eastAsia" w:ascii="黑体" w:hAnsi="黑体" w:eastAsia="黑体" w:cs="黑体"/>
          <w:sz w:val="36"/>
          <w:szCs w:val="36"/>
        </w:rPr>
        <w:t>2年度</w:t>
      </w:r>
    </w:p>
    <w:p>
      <w:pPr>
        <w:jc w:val="center"/>
        <w:rPr>
          <w:rFonts w:ascii="黑体" w:hAnsi="黑体" w:eastAsia="黑体" w:cs="Times New Roman"/>
          <w:sz w:val="36"/>
          <w:szCs w:val="36"/>
        </w:rPr>
      </w:pPr>
      <w:r>
        <w:rPr>
          <w:rFonts w:hint="eastAsia" w:ascii="黑体" w:hAnsi="黑体" w:eastAsia="黑体" w:cs="黑体"/>
          <w:sz w:val="36"/>
          <w:szCs w:val="36"/>
        </w:rPr>
        <w:t>整体支出绩效自评报告</w:t>
      </w:r>
    </w:p>
    <w:p>
      <w:pPr>
        <w:ind w:firstLine="640" w:firstLineChars="200"/>
        <w:rPr>
          <w:rFonts w:ascii="仿宋" w:hAnsi="仿宋" w:eastAsia="仿宋" w:cs="仿宋"/>
          <w:sz w:val="32"/>
          <w:szCs w:val="32"/>
        </w:rPr>
      </w:pP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为了加强财政预算资金管理，进一步规范财政预算资金使用，提高财政预算资金使用效益，根据《溆浦县财政局关于开展</w:t>
      </w:r>
      <w:r>
        <w:rPr>
          <w:rFonts w:ascii="仿宋" w:hAnsi="仿宋" w:eastAsia="仿宋" w:cs="仿宋"/>
          <w:sz w:val="32"/>
          <w:szCs w:val="32"/>
        </w:rPr>
        <w:t>202</w:t>
      </w:r>
      <w:r>
        <w:rPr>
          <w:rFonts w:hint="eastAsia" w:ascii="仿宋" w:hAnsi="仿宋" w:eastAsia="仿宋" w:cs="仿宋"/>
          <w:sz w:val="32"/>
          <w:szCs w:val="32"/>
        </w:rPr>
        <w:t>2年度部门整体支出绩效评价工作的通知》要求，（溆财绩函【2023】5号）对</w:t>
      </w:r>
      <w:r>
        <w:rPr>
          <w:rFonts w:ascii="仿宋" w:hAnsi="仿宋" w:eastAsia="仿宋" w:cs="仿宋"/>
          <w:sz w:val="32"/>
          <w:szCs w:val="32"/>
        </w:rPr>
        <w:t>202</w:t>
      </w:r>
      <w:r>
        <w:rPr>
          <w:rFonts w:hint="eastAsia" w:ascii="仿宋" w:hAnsi="仿宋" w:eastAsia="仿宋" w:cs="仿宋"/>
          <w:sz w:val="32"/>
          <w:szCs w:val="32"/>
        </w:rPr>
        <w:t>2年度本单位整体支出进行了绩效自评，现将具体绩效评价情况报告</w:t>
      </w:r>
      <w:bookmarkStart w:id="0" w:name="_GoBack"/>
      <w:bookmarkEnd w:id="0"/>
      <w:r>
        <w:rPr>
          <w:rFonts w:hint="eastAsia" w:ascii="仿宋" w:hAnsi="仿宋" w:eastAsia="仿宋" w:cs="仿宋"/>
          <w:sz w:val="32"/>
          <w:szCs w:val="32"/>
        </w:rPr>
        <w:t>如下：</w:t>
      </w:r>
      <w:r>
        <w:rPr>
          <w:rFonts w:ascii="仿宋" w:hAnsi="仿宋" w:eastAsia="仿宋" w:cs="Times New Roman"/>
          <w:sz w:val="32"/>
          <w:szCs w:val="32"/>
        </w:rPr>
        <w:t>          </w:t>
      </w:r>
    </w:p>
    <w:p>
      <w:pPr>
        <w:spacing w:line="600" w:lineRule="exact"/>
        <w:ind w:firstLine="640" w:firstLineChars="200"/>
        <w:rPr>
          <w:rFonts w:ascii="黑体" w:hAnsi="黑体" w:eastAsia="黑体" w:cs="Times New Roman"/>
          <w:sz w:val="28"/>
          <w:szCs w:val="28"/>
        </w:rPr>
      </w:pPr>
      <w:r>
        <w:rPr>
          <w:rFonts w:ascii="黑体" w:hAnsi="黑体" w:eastAsia="黑体" w:cs="黑体"/>
          <w:sz w:val="32"/>
          <w:szCs w:val="32"/>
        </w:rPr>
        <w:t xml:space="preserve"> </w:t>
      </w:r>
      <w:r>
        <w:rPr>
          <w:rFonts w:hint="eastAsia" w:ascii="黑体" w:hAnsi="黑体" w:eastAsia="黑体" w:cs="黑体"/>
          <w:sz w:val="28"/>
          <w:szCs w:val="28"/>
        </w:rPr>
        <w:t>一、</w:t>
      </w:r>
      <w:r>
        <w:rPr>
          <w:rFonts w:hint="eastAsia" w:ascii="黑体" w:hAnsi="黑体" w:eastAsia="黑体" w:cs="黑体"/>
          <w:sz w:val="32"/>
          <w:szCs w:val="32"/>
        </w:rPr>
        <w:t>部门概括</w:t>
      </w:r>
    </w:p>
    <w:p>
      <w:pPr>
        <w:spacing w:line="600" w:lineRule="exact"/>
        <w:ind w:firstLine="640" w:firstLineChars="200"/>
        <w:rPr>
          <w:rFonts w:ascii="黑体" w:hAnsi="黑体" w:eastAsia="黑体" w:cs="Times New Roman"/>
          <w:sz w:val="28"/>
          <w:szCs w:val="28"/>
        </w:rPr>
      </w:pPr>
      <w:r>
        <w:rPr>
          <w:rFonts w:hint="eastAsia" w:ascii="楷体" w:hAnsi="楷体" w:eastAsia="楷体" w:cs="楷体"/>
          <w:bCs/>
          <w:sz w:val="32"/>
          <w:szCs w:val="32"/>
        </w:rPr>
        <w:t>（一）部门基本情况</w:t>
      </w: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溆浦县人大常委会机关为县财政预算全额拨款行政单位，财务核算适用行政会计制度，根据财政部门整体支出绩效评价管理要求，对本单位经费整体支出情况进行评价。</w:t>
      </w:r>
      <w:r>
        <w:rPr>
          <w:rFonts w:ascii="仿宋" w:hAnsi="仿宋" w:eastAsia="仿宋" w:cs="仿宋"/>
          <w:sz w:val="32"/>
          <w:szCs w:val="32"/>
        </w:rPr>
        <w:t>202</w:t>
      </w:r>
      <w:r>
        <w:rPr>
          <w:rFonts w:hint="eastAsia" w:ascii="仿宋" w:hAnsi="仿宋" w:eastAsia="仿宋" w:cs="仿宋"/>
          <w:sz w:val="32"/>
          <w:szCs w:val="32"/>
        </w:rPr>
        <w:t>2年人大机关在职人员共46人，离退休人员</w:t>
      </w:r>
      <w:r>
        <w:rPr>
          <w:rFonts w:ascii="仿宋" w:hAnsi="仿宋" w:eastAsia="仿宋" w:cs="仿宋"/>
          <w:sz w:val="32"/>
          <w:szCs w:val="32"/>
        </w:rPr>
        <w:t>2</w:t>
      </w:r>
      <w:r>
        <w:rPr>
          <w:rFonts w:hint="eastAsia" w:ascii="仿宋" w:hAnsi="仿宋" w:eastAsia="仿宋" w:cs="仿宋"/>
          <w:sz w:val="32"/>
          <w:szCs w:val="32"/>
        </w:rPr>
        <w:t>3人，其中正常退休</w:t>
      </w:r>
      <w:r>
        <w:rPr>
          <w:rFonts w:ascii="仿宋" w:hAnsi="仿宋" w:eastAsia="仿宋" w:cs="仿宋"/>
          <w:sz w:val="32"/>
          <w:szCs w:val="32"/>
        </w:rPr>
        <w:t>2</w:t>
      </w:r>
      <w:r>
        <w:rPr>
          <w:rFonts w:hint="eastAsia" w:ascii="仿宋" w:hAnsi="仿宋" w:eastAsia="仿宋" w:cs="仿宋"/>
          <w:sz w:val="32"/>
          <w:szCs w:val="32"/>
        </w:rPr>
        <w:t>2人，提前退休1人。机关有专门委员会</w:t>
      </w:r>
      <w:r>
        <w:rPr>
          <w:rFonts w:ascii="仿宋" w:hAnsi="仿宋" w:eastAsia="仿宋" w:cs="仿宋"/>
          <w:sz w:val="32"/>
          <w:szCs w:val="32"/>
        </w:rPr>
        <w:t>7</w:t>
      </w:r>
      <w:r>
        <w:rPr>
          <w:rFonts w:hint="eastAsia" w:ascii="仿宋" w:hAnsi="仿宋" w:eastAsia="仿宋" w:cs="仿宋"/>
          <w:sz w:val="32"/>
          <w:szCs w:val="32"/>
        </w:rPr>
        <w:t>个、常委会内设机构</w:t>
      </w:r>
      <w:r>
        <w:rPr>
          <w:rFonts w:ascii="仿宋" w:hAnsi="仿宋" w:eastAsia="仿宋" w:cs="仿宋"/>
          <w:sz w:val="32"/>
          <w:szCs w:val="32"/>
        </w:rPr>
        <w:t>2</w:t>
      </w:r>
      <w:r>
        <w:rPr>
          <w:rFonts w:hint="eastAsia" w:ascii="仿宋" w:hAnsi="仿宋" w:eastAsia="仿宋" w:cs="仿宋"/>
          <w:sz w:val="32"/>
          <w:szCs w:val="32"/>
        </w:rPr>
        <w:t>个，共</w:t>
      </w:r>
      <w:r>
        <w:rPr>
          <w:rFonts w:ascii="仿宋" w:hAnsi="仿宋" w:eastAsia="仿宋" w:cs="仿宋"/>
          <w:sz w:val="32"/>
          <w:szCs w:val="32"/>
        </w:rPr>
        <w:t>9</w:t>
      </w:r>
      <w:r>
        <w:rPr>
          <w:rFonts w:hint="eastAsia" w:ascii="仿宋" w:hAnsi="仿宋" w:eastAsia="仿宋" w:cs="仿宋"/>
          <w:sz w:val="32"/>
          <w:szCs w:val="32"/>
        </w:rPr>
        <w:t>个业务机构。其中，</w:t>
      </w:r>
      <w:r>
        <w:rPr>
          <w:rFonts w:ascii="仿宋" w:hAnsi="仿宋" w:eastAsia="仿宋" w:cs="仿宋"/>
          <w:sz w:val="32"/>
          <w:szCs w:val="32"/>
        </w:rPr>
        <w:t>7</w:t>
      </w:r>
      <w:r>
        <w:rPr>
          <w:rFonts w:hint="eastAsia" w:ascii="仿宋" w:hAnsi="仿宋" w:eastAsia="仿宋" w:cs="仿宋"/>
          <w:sz w:val="32"/>
          <w:szCs w:val="32"/>
        </w:rPr>
        <w:t>个专门委员会分别是：县人大民族华侨外事委员会、县人大监察和司法（法制）委员会、县人大财政经济委员会、县人大社会建设委员会、县人大农业与农村委员会、县人大环境与资源保护委员会、县人大教育科学文化卫生委员会。</w:t>
      </w:r>
      <w:r>
        <w:rPr>
          <w:rFonts w:ascii="仿宋" w:hAnsi="仿宋" w:eastAsia="仿宋" w:cs="仿宋"/>
          <w:sz w:val="32"/>
          <w:szCs w:val="32"/>
        </w:rPr>
        <w:t>2</w:t>
      </w:r>
      <w:r>
        <w:rPr>
          <w:rFonts w:hint="eastAsia" w:ascii="仿宋" w:hAnsi="仿宋" w:eastAsia="仿宋" w:cs="仿宋"/>
          <w:sz w:val="32"/>
          <w:szCs w:val="32"/>
        </w:rPr>
        <w:t>个内设业务部门：县人大常委会办公室、县人大常委会联工委。主要工作职责：</w:t>
      </w:r>
      <w:r>
        <w:rPr>
          <w:rFonts w:ascii="仿宋" w:hAnsi="仿宋" w:eastAsia="仿宋" w:cs="仿宋"/>
          <w:sz w:val="32"/>
          <w:szCs w:val="32"/>
        </w:rPr>
        <w:t>1</w:t>
      </w:r>
      <w:r>
        <w:rPr>
          <w:rFonts w:hint="eastAsia" w:ascii="仿宋" w:hAnsi="仿宋" w:eastAsia="仿宋" w:cs="仿宋"/>
          <w:sz w:val="32"/>
          <w:szCs w:val="32"/>
        </w:rPr>
        <w:t>、行使重大事项决定权。讨论决定县域政治、经济、教育、科学、文化、卫生、环境和资源保护、民政、民族等工作的重大事项。</w:t>
      </w:r>
      <w:r>
        <w:rPr>
          <w:rFonts w:ascii="仿宋" w:hAnsi="仿宋" w:eastAsia="仿宋" w:cs="仿宋"/>
          <w:sz w:val="32"/>
          <w:szCs w:val="32"/>
        </w:rPr>
        <w:t>2</w:t>
      </w:r>
      <w:r>
        <w:rPr>
          <w:rFonts w:hint="eastAsia" w:ascii="仿宋" w:hAnsi="仿宋" w:eastAsia="仿宋" w:cs="仿宋"/>
          <w:sz w:val="32"/>
          <w:szCs w:val="32"/>
        </w:rPr>
        <w:t>、行使监督权。监督本级“一府一委两院”的工作，联系本级人民代表大会代表，受理人民群众对上述机关和工作人员的申诉和意见；审查监督本级“一府一委两院”及乡镇人大规范性文件。</w:t>
      </w:r>
      <w:r>
        <w:rPr>
          <w:rFonts w:ascii="仿宋" w:hAnsi="仿宋" w:eastAsia="仿宋" w:cs="仿宋"/>
          <w:sz w:val="32"/>
          <w:szCs w:val="32"/>
        </w:rPr>
        <w:t>3</w:t>
      </w:r>
      <w:r>
        <w:rPr>
          <w:rFonts w:hint="eastAsia" w:ascii="仿宋" w:hAnsi="仿宋" w:eastAsia="仿宋" w:cs="仿宋"/>
          <w:sz w:val="32"/>
          <w:szCs w:val="32"/>
        </w:rPr>
        <w:t>、行使人事任免权。选举任免本级“一府一委两院”工作人员的职务。</w:t>
      </w:r>
      <w:r>
        <w:rPr>
          <w:rFonts w:ascii="仿宋" w:hAnsi="仿宋" w:eastAsia="仿宋" w:cs="仿宋"/>
          <w:sz w:val="32"/>
          <w:szCs w:val="32"/>
        </w:rPr>
        <w:t>4</w:t>
      </w:r>
      <w:r>
        <w:rPr>
          <w:rFonts w:hint="eastAsia" w:ascii="仿宋" w:hAnsi="仿宋" w:eastAsia="仿宋" w:cs="仿宋"/>
          <w:sz w:val="32"/>
          <w:szCs w:val="32"/>
        </w:rPr>
        <w:t>、确保宪法法律法规在本行政区内正确贯彻实施。</w:t>
      </w:r>
      <w:r>
        <w:rPr>
          <w:rFonts w:ascii="仿宋" w:hAnsi="仿宋" w:eastAsia="仿宋" w:cs="仿宋"/>
          <w:sz w:val="32"/>
          <w:szCs w:val="32"/>
        </w:rPr>
        <w:t>5</w:t>
      </w:r>
      <w:r>
        <w:rPr>
          <w:rFonts w:hint="eastAsia" w:ascii="仿宋" w:hAnsi="仿宋" w:eastAsia="仿宋" w:cs="仿宋"/>
          <w:sz w:val="32"/>
          <w:szCs w:val="32"/>
        </w:rPr>
        <w:t>、召集组织本级人民代表大会会议的召开。</w:t>
      </w:r>
      <w:r>
        <w:rPr>
          <w:rFonts w:ascii="仿宋" w:hAnsi="仿宋" w:eastAsia="仿宋" w:cs="仿宋"/>
          <w:sz w:val="32"/>
          <w:szCs w:val="32"/>
        </w:rPr>
        <w:t>6</w:t>
      </w:r>
      <w:r>
        <w:rPr>
          <w:rFonts w:hint="eastAsia" w:ascii="仿宋" w:hAnsi="仿宋" w:eastAsia="仿宋" w:cs="仿宋"/>
          <w:sz w:val="32"/>
          <w:szCs w:val="32"/>
        </w:rPr>
        <w:t>、依法组织召开本级人大常委会会议和代表大会会议。</w:t>
      </w:r>
      <w:r>
        <w:rPr>
          <w:rFonts w:ascii="仿宋" w:hAnsi="仿宋" w:eastAsia="仿宋" w:cs="仿宋"/>
          <w:sz w:val="32"/>
          <w:szCs w:val="32"/>
        </w:rPr>
        <w:t>7</w:t>
      </w:r>
      <w:r>
        <w:rPr>
          <w:rFonts w:hint="eastAsia" w:ascii="仿宋" w:hAnsi="仿宋" w:eastAsia="仿宋" w:cs="仿宋"/>
          <w:sz w:val="32"/>
          <w:szCs w:val="32"/>
        </w:rPr>
        <w:t>、负责人大常委会组成人员管理教育培训，增强常委会组成人员履职能力。</w:t>
      </w:r>
      <w:r>
        <w:rPr>
          <w:rFonts w:ascii="仿宋" w:hAnsi="仿宋" w:eastAsia="仿宋" w:cs="仿宋"/>
          <w:sz w:val="32"/>
          <w:szCs w:val="32"/>
        </w:rPr>
        <w:t>8</w:t>
      </w:r>
      <w:r>
        <w:rPr>
          <w:rFonts w:hint="eastAsia" w:ascii="仿宋" w:hAnsi="仿宋" w:eastAsia="仿宋" w:cs="仿宋"/>
          <w:sz w:val="32"/>
          <w:szCs w:val="32"/>
        </w:rPr>
        <w:t>、负责本级人大代表管理教育培训，增强本级人大代表履职能力。</w:t>
      </w:r>
      <w:r>
        <w:rPr>
          <w:rFonts w:ascii="仿宋" w:hAnsi="仿宋" w:eastAsia="仿宋" w:cs="仿宋"/>
          <w:sz w:val="32"/>
          <w:szCs w:val="32"/>
        </w:rPr>
        <w:t>9</w:t>
      </w:r>
      <w:r>
        <w:rPr>
          <w:rFonts w:hint="eastAsia" w:ascii="仿宋" w:hAnsi="仿宋" w:eastAsia="仿宋" w:cs="仿宋"/>
          <w:sz w:val="32"/>
          <w:szCs w:val="32"/>
        </w:rPr>
        <w:t>、组织省市县人大代表开展代表履职活动。</w:t>
      </w:r>
      <w:r>
        <w:rPr>
          <w:rFonts w:ascii="仿宋" w:hAnsi="仿宋" w:eastAsia="仿宋" w:cs="仿宋"/>
          <w:sz w:val="32"/>
          <w:szCs w:val="32"/>
        </w:rPr>
        <w:t>10</w:t>
      </w:r>
      <w:r>
        <w:rPr>
          <w:rFonts w:hint="eastAsia" w:ascii="仿宋" w:hAnsi="仿宋" w:eastAsia="仿宋" w:cs="仿宋"/>
          <w:sz w:val="32"/>
          <w:szCs w:val="32"/>
        </w:rPr>
        <w:t>、管理指导乡镇人大工作的开展。</w:t>
      </w:r>
      <w:r>
        <w:rPr>
          <w:rFonts w:ascii="仿宋" w:hAnsi="仿宋" w:eastAsia="仿宋" w:cs="仿宋"/>
          <w:sz w:val="32"/>
          <w:szCs w:val="32"/>
        </w:rPr>
        <w:t>11</w:t>
      </w:r>
      <w:r>
        <w:rPr>
          <w:rFonts w:hint="eastAsia" w:ascii="仿宋" w:hAnsi="仿宋" w:eastAsia="仿宋" w:cs="仿宋"/>
          <w:sz w:val="32"/>
          <w:szCs w:val="32"/>
        </w:rPr>
        <w:t>、服务党委中心工作。</w:t>
      </w:r>
      <w:r>
        <w:rPr>
          <w:rFonts w:ascii="仿宋" w:hAnsi="仿宋" w:eastAsia="仿宋" w:cs="仿宋"/>
          <w:sz w:val="32"/>
          <w:szCs w:val="32"/>
        </w:rPr>
        <w:t>12</w:t>
      </w:r>
      <w:r>
        <w:rPr>
          <w:rFonts w:hint="eastAsia" w:ascii="仿宋" w:hAnsi="仿宋" w:eastAsia="仿宋" w:cs="仿宋"/>
          <w:sz w:val="32"/>
          <w:szCs w:val="32"/>
        </w:rPr>
        <w:t>、组织本级和上级人大代表选举联络工作。</w:t>
      </w:r>
      <w:r>
        <w:rPr>
          <w:rFonts w:ascii="仿宋" w:hAnsi="仿宋" w:eastAsia="仿宋" w:cs="仿宋"/>
          <w:sz w:val="32"/>
          <w:szCs w:val="32"/>
        </w:rPr>
        <w:t>13</w:t>
      </w:r>
      <w:r>
        <w:rPr>
          <w:rFonts w:hint="eastAsia" w:ascii="仿宋" w:hAnsi="仿宋" w:eastAsia="仿宋" w:cs="仿宋"/>
          <w:sz w:val="32"/>
          <w:szCs w:val="32"/>
        </w:rPr>
        <w:t>、配合省市人大开展立法调研及相关监督工作。</w:t>
      </w:r>
    </w:p>
    <w:p>
      <w:pPr>
        <w:spacing w:line="600" w:lineRule="exact"/>
        <w:ind w:firstLine="640" w:firstLineChars="200"/>
        <w:rPr>
          <w:rFonts w:ascii="仿宋" w:hAnsi="仿宋" w:eastAsia="仿宋" w:cs="仿宋"/>
          <w:sz w:val="32"/>
          <w:szCs w:val="32"/>
        </w:rPr>
      </w:pPr>
      <w:r>
        <w:rPr>
          <w:rFonts w:ascii="仿宋" w:hAnsi="仿宋" w:eastAsia="仿宋" w:cs="仿宋"/>
          <w:sz w:val="32"/>
          <w:szCs w:val="32"/>
        </w:rPr>
        <w:t>202</w:t>
      </w:r>
      <w:r>
        <w:rPr>
          <w:rFonts w:hint="eastAsia" w:ascii="仿宋" w:hAnsi="仿宋" w:eastAsia="仿宋" w:cs="仿宋"/>
          <w:sz w:val="32"/>
          <w:szCs w:val="32"/>
        </w:rPr>
        <w:t>2年开展的重点工作：1、依法组织召开人大常委会议11次，审议各类专项工作报告27项，依法作出决议决定19个，有力促进“一府一委两院”工作；2、深入开展《食品安全法》、《社会保险法》、《怀化市城市公园条例》执法检查和6个单位工作评议，听取和审议“一府一委两院”工作情况报告27项，加强对计划、财政的审查监督；3、依法决定重大事项，做好人事任免工作；4、组织代表参加全国、省市县人大代表履职培训200余人次，组织常委会组成人员开展专题调研，开展省市县人大代表视察活动3次，提出意见建议30余条，促进了人民政府工作；5、开展宪法和法律法规的宣传，推进全民守法护法意识，深入推进规范性文件备案审查工作，推进全县法治建设；6、深入开展“五行”活动，促进县城生态环境、产品质量、农民健康、民族团结、司法公正的不断推进；7、认真完成县委和上级人大交办的各项任务，依法组织召开县十八届人民代表大会第二次会议</w:t>
      </w:r>
      <w:r>
        <w:rPr>
          <w:rFonts w:hint="eastAsia" w:ascii="仿宋" w:hAnsi="仿宋" w:eastAsia="仿宋" w:cs="仿宋"/>
          <w:b/>
          <w:bCs/>
          <w:sz w:val="32"/>
          <w:szCs w:val="32"/>
        </w:rPr>
        <w:t>，</w:t>
      </w:r>
      <w:r>
        <w:rPr>
          <w:rFonts w:hint="eastAsia" w:ascii="仿宋" w:hAnsi="仿宋" w:eastAsia="仿宋" w:cs="仿宋"/>
          <w:sz w:val="32"/>
          <w:szCs w:val="32"/>
        </w:rPr>
        <w:t>圆满完成了大会的各项任务。</w:t>
      </w:r>
    </w:p>
    <w:p>
      <w:pPr>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（二）部门支出情况</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202</w:t>
      </w:r>
      <w:r>
        <w:rPr>
          <w:rFonts w:hint="eastAsia" w:ascii="仿宋" w:hAnsi="仿宋" w:eastAsia="仿宋" w:cs="仿宋"/>
          <w:sz w:val="32"/>
          <w:szCs w:val="32"/>
        </w:rPr>
        <w:t>2年县人大机关总支出1300.88万元，主要为人员经费和日常公用经费。主要包括：工资福利支出、对个人和家庭的补助、商品和服务支出、资本性支出及项目支出。</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二、部门整体支出管理及使用情况</w:t>
      </w:r>
    </w:p>
    <w:p>
      <w:pPr>
        <w:spacing w:line="600" w:lineRule="exact"/>
        <w:ind w:firstLine="640" w:firstLineChars="200"/>
        <w:rPr>
          <w:rFonts w:ascii="黑体" w:hAnsi="黑体" w:eastAsia="黑体" w:cs="Times New Roman"/>
          <w:sz w:val="32"/>
          <w:szCs w:val="32"/>
        </w:rPr>
      </w:pPr>
      <w:r>
        <w:rPr>
          <w:rFonts w:hint="eastAsia" w:ascii="楷体" w:hAnsi="楷体" w:eastAsia="楷体" w:cs="黑体"/>
          <w:sz w:val="32"/>
          <w:szCs w:val="32"/>
        </w:rPr>
        <w:t>（一）基本支出总额1137.87万元。</w:t>
      </w:r>
      <w:r>
        <w:rPr>
          <w:rFonts w:hint="eastAsia" w:ascii="仿宋" w:hAnsi="仿宋" w:eastAsia="仿宋" w:cs="仿宋"/>
          <w:sz w:val="32"/>
          <w:szCs w:val="32"/>
        </w:rPr>
        <w:t>其中：工资福利支出660.38万元</w:t>
      </w:r>
      <w:r>
        <w:rPr>
          <w:rFonts w:ascii="仿宋" w:hAnsi="仿宋" w:eastAsia="仿宋" w:cs="仿宋"/>
          <w:sz w:val="32"/>
          <w:szCs w:val="32"/>
        </w:rPr>
        <w:t>,</w:t>
      </w:r>
      <w:r>
        <w:rPr>
          <w:rFonts w:hint="eastAsia" w:ascii="仿宋" w:hAnsi="仿宋" w:eastAsia="仿宋" w:cs="仿宋"/>
          <w:sz w:val="32"/>
          <w:szCs w:val="32"/>
        </w:rPr>
        <w:t>对个人和家庭的补助支出82.57万元</w:t>
      </w:r>
      <w:r>
        <w:rPr>
          <w:rFonts w:ascii="仿宋" w:hAnsi="仿宋" w:eastAsia="仿宋" w:cs="仿宋"/>
          <w:sz w:val="32"/>
          <w:szCs w:val="32"/>
        </w:rPr>
        <w:t>,</w:t>
      </w:r>
      <w:r>
        <w:rPr>
          <w:rFonts w:hint="eastAsia" w:ascii="仿宋" w:hAnsi="仿宋" w:eastAsia="仿宋" w:cs="仿宋"/>
          <w:sz w:val="32"/>
          <w:szCs w:val="32"/>
        </w:rPr>
        <w:t>商品和服务支出380.74万元，其他支出14.18万元。“三公”经费支出5.49万元，严格落实中央八项规定，因公出国出境费用本年未发生经费支出；因公务车辆已移交县公车平台，所以本年公务用车运行维护费也未发生经费支出；公务接待费5</w:t>
      </w:r>
      <w:r>
        <w:rPr>
          <w:rFonts w:ascii="仿宋" w:hAnsi="仿宋" w:eastAsia="仿宋" w:cs="仿宋"/>
          <w:sz w:val="32"/>
          <w:szCs w:val="32"/>
        </w:rPr>
        <w:t>.</w:t>
      </w:r>
      <w:r>
        <w:rPr>
          <w:rFonts w:hint="eastAsia" w:ascii="仿宋" w:hAnsi="仿宋" w:eastAsia="仿宋" w:cs="仿宋"/>
          <w:sz w:val="32"/>
          <w:szCs w:val="32"/>
        </w:rPr>
        <w:t>49万元支出在规定标准内，较去年有所下降。</w:t>
      </w:r>
    </w:p>
    <w:p>
      <w:pPr>
        <w:spacing w:line="600" w:lineRule="exact"/>
        <w:ind w:firstLine="640" w:firstLineChars="200"/>
        <w:rPr>
          <w:rFonts w:ascii="楷体" w:hAnsi="楷体" w:eastAsia="楷体" w:cs="黑体"/>
          <w:sz w:val="32"/>
          <w:szCs w:val="32"/>
        </w:rPr>
      </w:pPr>
      <w:r>
        <w:rPr>
          <w:rFonts w:hint="eastAsia" w:ascii="楷体" w:hAnsi="楷体" w:eastAsia="楷体" w:cs="黑体"/>
          <w:sz w:val="32"/>
          <w:szCs w:val="32"/>
        </w:rPr>
        <w:t>（二）专项支出总额163.01万元</w:t>
      </w:r>
    </w:p>
    <w:p>
      <w:pPr>
        <w:spacing w:line="600" w:lineRule="exact"/>
        <w:ind w:firstLine="640" w:firstLineChars="200"/>
        <w:rPr>
          <w:rFonts w:ascii="仿宋" w:hAnsi="仿宋" w:eastAsia="仿宋" w:cs="仿宋"/>
          <w:sz w:val="32"/>
          <w:szCs w:val="32"/>
        </w:rPr>
      </w:pPr>
      <w:r>
        <w:rPr>
          <w:rFonts w:hint="eastAsia" w:ascii="仿宋" w:hAnsi="仿宋" w:eastAsia="仿宋" w:cs="Times New Roman"/>
          <w:sz w:val="32"/>
          <w:szCs w:val="32"/>
        </w:rPr>
        <w:t>1、</w:t>
      </w:r>
      <w:r>
        <w:rPr>
          <w:rFonts w:hint="eastAsia" w:ascii="仿宋" w:hAnsi="仿宋" w:eastAsia="仿宋" w:cs="仿宋"/>
          <w:sz w:val="32"/>
          <w:szCs w:val="32"/>
        </w:rPr>
        <w:t>县财政按照工作实施进度和工作开展的实际情况，四项专项经费全部拨付到位，我单位也将专项经费全部用于 五项专项工作中。</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专项资金实际使用情况：“五行”专项工作经费共40万元（每项工作经费8万元）主要用于组委会人员业务培训、主题活动考核评比、专项、工作调研和工作督查检查、宣传资料和宣传展板等方面支出。省市县乡人大代表活动专项经费支出213万元主要用于乡镇人大主席工作会议及业务培训、组织省市县人大代表履职能力业务培训、组织代表视察调研、县代表履职通讯及交通费、订购人大代表业务书籍资料、代表建议跟踪督办等方面支出。常委会组成人员活动专项工作经费支出12万元。主要用于常委会组成人员履职能力业务培训、组织常委会组成人员开展执法检查和工作评议、工作视察等活动、定购组成人员业务书籍资料等支出。乡镇人大平台运行工作经费支出35万元。人大机关一次性拨付给25个乡镇，乡镇主要用于乡镇人大代表工作室阵地建设，即维修办公室、安装代表工作室的工作职责、代表信息公示、办公桌椅、电脑打印机等设备。</w:t>
      </w:r>
    </w:p>
    <w:p>
      <w:pPr>
        <w:spacing w:line="600" w:lineRule="exact"/>
        <w:ind w:firstLine="640" w:firstLineChars="200"/>
        <w:rPr>
          <w:rFonts w:ascii="仿宋" w:hAnsi="仿宋" w:eastAsia="仿宋" w:cs="仿宋"/>
          <w:sz w:val="32"/>
          <w:szCs w:val="32"/>
        </w:rPr>
      </w:pPr>
      <w:r>
        <w:rPr>
          <w:rFonts w:hint="eastAsia" w:ascii="楷体" w:hAnsi="楷体" w:eastAsia="楷体" w:cs="楷体"/>
          <w:sz w:val="32"/>
          <w:szCs w:val="32"/>
        </w:rPr>
        <w:t>3、</w:t>
      </w:r>
      <w:r>
        <w:rPr>
          <w:rFonts w:hint="eastAsia" w:ascii="仿宋" w:hAnsi="仿宋" w:eastAsia="仿宋" w:cs="仿宋"/>
          <w:sz w:val="32"/>
          <w:szCs w:val="32"/>
        </w:rPr>
        <w:t>我单位财务部门根据工作性质、工作分工和工作需要，分别由常委会办公室、联工委、人大环资委、教科文卫委、农业与农村委、民侨委监察和司法委等七个部门依据工作进度提出经费使用申请和计划，及时安排并有效监督经费使用。</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三、部门专项组织实施情况</w:t>
      </w:r>
    </w:p>
    <w:p>
      <w:pPr>
        <w:spacing w:line="600" w:lineRule="exact"/>
        <w:ind w:firstLine="640" w:firstLineChars="200"/>
        <w:rPr>
          <w:rFonts w:ascii="仿宋" w:hAnsi="仿宋" w:eastAsia="仿宋" w:cs="仿宋"/>
          <w:sz w:val="32"/>
          <w:szCs w:val="32"/>
        </w:rPr>
      </w:pPr>
      <w:r>
        <w:rPr>
          <w:rFonts w:hint="eastAsia" w:ascii="楷体" w:hAnsi="楷体" w:eastAsia="楷体" w:cs="仿宋"/>
          <w:sz w:val="32"/>
          <w:szCs w:val="32"/>
        </w:rPr>
        <w:t>（一）专项组织情况：</w:t>
      </w:r>
      <w:r>
        <w:rPr>
          <w:rFonts w:hint="eastAsia" w:ascii="仿宋" w:hAnsi="仿宋" w:eastAsia="仿宋" w:cs="仿宋"/>
          <w:sz w:val="32"/>
          <w:szCs w:val="32"/>
        </w:rPr>
        <w:t>根据年初常委会工作要点四个专项工作由常委会办公室、联工委、人大环资委、教科文卫委、农业与农村委、民侨委监察和司法委等七个部门负责组织实施。</w:t>
      </w:r>
    </w:p>
    <w:p>
      <w:pPr>
        <w:spacing w:line="600" w:lineRule="exact"/>
        <w:ind w:firstLine="640" w:firstLineChars="200"/>
        <w:rPr>
          <w:rFonts w:ascii="仿宋" w:hAnsi="仿宋" w:eastAsia="仿宋" w:cs="仿宋"/>
          <w:sz w:val="32"/>
          <w:szCs w:val="32"/>
        </w:rPr>
      </w:pPr>
      <w:r>
        <w:rPr>
          <w:rFonts w:hint="eastAsia" w:ascii="楷体" w:hAnsi="楷体" w:eastAsia="楷体" w:cs="仿宋"/>
          <w:sz w:val="32"/>
          <w:szCs w:val="32"/>
        </w:rPr>
        <w:t>（二）专项管理情况：</w:t>
      </w:r>
      <w:r>
        <w:rPr>
          <w:rFonts w:hint="eastAsia" w:ascii="仿宋" w:hAnsi="仿宋" w:eastAsia="仿宋" w:cs="仿宋"/>
          <w:sz w:val="32"/>
          <w:szCs w:val="32"/>
        </w:rPr>
        <w:t>我单位财务部门根据工作性质、工作分工和工作需要，制度了相应的管理制度要求七个部门依据工作进度提出经费使用申请和计划，及时安排并有效监督经费使用。</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四、资产管理情况</w:t>
      </w:r>
    </w:p>
    <w:p>
      <w:pPr>
        <w:spacing w:line="600" w:lineRule="exact"/>
        <w:ind w:firstLine="640" w:firstLineChars="200"/>
        <w:rPr>
          <w:rFonts w:ascii="宋体" w:hAnsiTheme="minorEastAsia"/>
          <w:color w:val="000000"/>
          <w:sz w:val="27"/>
        </w:rPr>
      </w:pPr>
      <w:r>
        <w:rPr>
          <w:rFonts w:hint="eastAsia" w:ascii="楷体" w:hAnsi="楷体" w:eastAsia="楷体" w:cs="黑体"/>
          <w:sz w:val="32"/>
          <w:szCs w:val="32"/>
        </w:rPr>
        <w:t>（一）资产总体情况：</w:t>
      </w:r>
    </w:p>
    <w:p>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我单位严格按照溆浦县财产物资管理制度实施到位，对单位确需购置的固定资产，由使用部门提出申请办公室主任签署意见后，报党组集体讨论决定，对属于政府采购的项目严格执行政府采购，对固定资产的使用实行“谁使用，谁保管、谁维护”的原则。每年6月底、12月底进行两次财产物资的清查盘点工作，2022年固定资产价值132.13万元，无形资产价值19.93万元。</w:t>
      </w:r>
    </w:p>
    <w:p>
      <w:pPr>
        <w:spacing w:line="600" w:lineRule="exact"/>
        <w:ind w:firstLine="640" w:firstLineChars="200"/>
        <w:rPr>
          <w:rFonts w:ascii="楷体" w:hAnsi="楷体" w:eastAsia="楷体" w:cs="黑体"/>
          <w:sz w:val="32"/>
          <w:szCs w:val="32"/>
        </w:rPr>
      </w:pPr>
      <w:r>
        <w:rPr>
          <w:rFonts w:hint="eastAsia" w:ascii="楷体" w:hAnsi="楷体" w:eastAsia="楷体" w:cs="黑体"/>
          <w:sz w:val="32"/>
          <w:szCs w:val="32"/>
        </w:rPr>
        <w:t>（二）资产管理相关制度及做法：</w:t>
      </w:r>
    </w:p>
    <w:p>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（1）持续规范单位国有资产管理</w:t>
      </w: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出台《溆浦县人大常委会机关内控管理制度》，并严格执行资产采购管理使用，保证单位国有资产的安全完整，有专人负责，明确了工作要求，力求做到规范管理、科学统筹，不断提高资产使用效率。</w:t>
      </w:r>
    </w:p>
    <w:p>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（2）持续完善固定资产管理使用</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为防止国有固定资产流失，维护国有资产的安全和完整，在工作中结合我单位实际情况，积极探索与之相适应的资产管理配套实施机制，对每个办公室的固定资产保管使用负责到人，如有流失由负责保管使用人负责。</w:t>
      </w:r>
    </w:p>
    <w:p>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（3）持续规范资产管理秩序</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一是新增（购买、接收捐赠）资产及时入账，领取使用办公用品实行台账登记，落实保管制度，责任到人。</w:t>
      </w: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二是资产盘亏、报废由单位办公室资产负责人组织相关人员盘点后提出资产亏盘、写出报废申请报告，并会同财务部门核查落实后，报财政部门审批，严格规范资产处置程序。</w:t>
      </w: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三是落实检查制度，对每个办公室资产的调配、使用、保管进行定期和不定期检查，特别是对易携带、易丢失、已损坏的资产检查，通过检查未发现有出租、出借、私自带走单位资产的现象，各办公室基本做到了账实相符，存放地点清楚，责任人员明确。</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五、部门整体支出绩效情况</w:t>
      </w:r>
    </w:p>
    <w:p>
      <w:pPr>
        <w:spacing w:line="600" w:lineRule="exact"/>
        <w:ind w:firstLine="640" w:firstLineChars="200"/>
        <w:rPr>
          <w:rFonts w:ascii="黑体" w:hAnsi="黑体" w:eastAsia="黑体" w:cs="Times New Roman"/>
          <w:sz w:val="32"/>
          <w:szCs w:val="32"/>
        </w:rPr>
      </w:pPr>
      <w:r>
        <w:rPr>
          <w:rFonts w:ascii="仿宋" w:hAnsi="仿宋" w:eastAsia="仿宋" w:cs="仿宋"/>
          <w:sz w:val="32"/>
          <w:szCs w:val="32"/>
        </w:rPr>
        <w:t>202</w:t>
      </w:r>
      <w:r>
        <w:rPr>
          <w:rFonts w:hint="eastAsia" w:ascii="仿宋" w:hAnsi="仿宋" w:eastAsia="仿宋" w:cs="仿宋"/>
          <w:sz w:val="32"/>
          <w:szCs w:val="32"/>
        </w:rPr>
        <w:t>2年，根据年初工作要点和重点性工作，积极履职，强化管理，较好地完成了年度工作目标。通过加强预算收支的管理，不断建立健全内部管理制度，理顺内部管理流程，部门整体支出管理情况得到了提升。部门整体支出绩效情况如下：</w:t>
      </w:r>
    </w:p>
    <w:p>
      <w:pPr>
        <w:spacing w:line="600" w:lineRule="exact"/>
        <w:ind w:firstLine="640" w:firstLineChars="200"/>
        <w:rPr>
          <w:rFonts w:ascii="仿宋" w:hAnsi="仿宋" w:eastAsia="仿宋" w:cs="Times New Roman"/>
          <w:sz w:val="32"/>
          <w:szCs w:val="32"/>
        </w:rPr>
      </w:pPr>
      <w:r>
        <w:rPr>
          <w:rFonts w:hint="eastAsia" w:ascii="楷体" w:hAnsi="楷体" w:eastAsia="楷体" w:cs="楷体"/>
          <w:bCs/>
          <w:sz w:val="32"/>
          <w:szCs w:val="32"/>
        </w:rPr>
        <w:t>（一）经济性评价</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、严格落实控制机制。本年预算安排控制制度较好，“三公”经费支出控制严格，公务接待费较去年有所下降，无公费出国，无车辆运行维护费。</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、严格预算执行。全年支出总额控制在预算总额以内，做到预算收支平衡。</w:t>
      </w:r>
    </w:p>
    <w:p>
      <w:pPr>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（二）效率性评价</w:t>
      </w:r>
    </w:p>
    <w:p>
      <w:pPr>
        <w:spacing w:line="600" w:lineRule="exact"/>
        <w:ind w:firstLine="640" w:firstLineChars="200"/>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通过开展四个项目专项工作，进一步推进全县生态环境、农产品质量安全、农民健康、民族团结、司法公正，促进全县经济安全、健康、稳步发展。提高了代表履职能力和监督实效，提高了代表建议办理质量和满意率，促进了人民政府工作。建设好代表联系群众的阵地，</w:t>
      </w:r>
      <w:r>
        <w:rPr>
          <w:rFonts w:ascii="仿宋" w:hAnsi="仿宋" w:eastAsia="仿宋" w:cs="仿宋"/>
          <w:sz w:val="32"/>
          <w:szCs w:val="32"/>
        </w:rPr>
        <w:t xml:space="preserve"> </w:t>
      </w:r>
      <w:r>
        <w:rPr>
          <w:rFonts w:hint="eastAsia" w:ascii="仿宋" w:hAnsi="仿宋" w:eastAsia="仿宋" w:cs="仿宋"/>
          <w:sz w:val="32"/>
          <w:szCs w:val="32"/>
        </w:rPr>
        <w:t>加强了代表联系服务群众的实效，拓宽人大代表参与预算审查监督，加强了财政预算资金管理，进一步规范了预算资金使用，提高了财政资金使用效益，促进了全县经济社会向好方面发展。</w:t>
      </w:r>
    </w:p>
    <w:p>
      <w:pPr>
        <w:numPr>
          <w:ilvl w:val="0"/>
          <w:numId w:val="1"/>
        </w:numPr>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有些性评价</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在时效内，认真完成了2022年人大本级工作及县委和上级人大交办的其他工作，召开代表大会一次，审查通过人大、政府、计划、财政、法院、检察院报告，依法做出决议决定，选举地方国家机关组成人员，依法保障人民当家作主的民主权利。提高了工作效应，服务了县城经济发展。</w:t>
      </w:r>
    </w:p>
    <w:p>
      <w:pPr>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（四）可持续性评价</w:t>
      </w:r>
    </w:p>
    <w:p>
      <w:pPr>
        <w:spacing w:line="600" w:lineRule="exact"/>
        <w:ind w:firstLine="640" w:firstLineChars="200"/>
        <w:rPr>
          <w:rFonts w:ascii="楷体" w:hAnsi="楷体" w:eastAsia="楷体" w:cs="楷体"/>
          <w:b/>
          <w:bCs/>
          <w:sz w:val="32"/>
          <w:szCs w:val="32"/>
        </w:rPr>
      </w:pPr>
      <w:r>
        <w:rPr>
          <w:rFonts w:hint="eastAsia" w:ascii="仿宋" w:hAnsi="仿宋" w:eastAsia="仿宋" w:cs="仿宋"/>
          <w:sz w:val="32"/>
          <w:szCs w:val="32"/>
        </w:rPr>
        <w:t>1、完善财务制度。在原有的财务管理制度基础上，适时地、针对性地进行了相关制度的增补和修改，使制度的建立更为完善。</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、坚持财务制度的学习，组织全体干部职工定期学习机关财务和后勤制度，逐步形成了崇尚厉行节约反对浪费的机关文化。</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、坚持经费支出定期汇报和公示制度，经费支出的公开透明性得到了提高。</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4</w:t>
      </w:r>
      <w:r>
        <w:rPr>
          <w:rFonts w:hint="eastAsia" w:ascii="仿宋" w:hAnsi="仿宋" w:eastAsia="仿宋" w:cs="仿宋"/>
          <w:sz w:val="32"/>
          <w:szCs w:val="32"/>
        </w:rPr>
        <w:t>、坚持财务规范化。严格执行了国库集中支付、公务卡结算制度、政府采购等有关规定，政府采购目录内的货物与服务全部要求实施了政府采购，确保了支出管理流程、审批手续的完整。</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六、存在的主要问题</w:t>
      </w:r>
    </w:p>
    <w:p>
      <w:pPr>
        <w:spacing w:line="600" w:lineRule="exact"/>
        <w:ind w:firstLine="640" w:firstLineChars="200"/>
        <w:rPr>
          <w:rFonts w:ascii="仿宋" w:hAnsi="仿宋" w:eastAsia="仿宋" w:cs="Times New Roman"/>
          <w:sz w:val="32"/>
          <w:szCs w:val="32"/>
        </w:rPr>
      </w:pPr>
      <w:r>
        <w:rPr>
          <w:rFonts w:hint="eastAsia" w:ascii="仿宋" w:hAnsi="仿宋" w:eastAsia="仿宋" w:cs="仿宋"/>
          <w:sz w:val="32"/>
          <w:szCs w:val="32"/>
        </w:rPr>
        <w:t>年初预算的编制虽然按照本单位的职责和常委会工作要点进行编制，具有一定的前瞻性，但也有一定的局限性，各项工作经费的预算也存在不够精准的现象。项目经费不便于对其进行精细化的预算管理和分析评价。</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七、改进措施和有关建议</w:t>
      </w:r>
    </w:p>
    <w:p>
      <w:pPr>
        <w:spacing w:line="600" w:lineRule="exact"/>
        <w:ind w:firstLine="640" w:firstLineChars="200"/>
        <w:rPr>
          <w:rFonts w:ascii="黑体" w:hAnsi="黑体" w:eastAsia="黑体" w:cs="Times New Roman"/>
          <w:sz w:val="32"/>
          <w:szCs w:val="32"/>
        </w:rPr>
      </w:pPr>
      <w:r>
        <w:rPr>
          <w:rFonts w:ascii="仿宋" w:hAnsi="仿宋" w:eastAsia="仿宋" w:cs="仿宋"/>
          <w:sz w:val="32"/>
          <w:szCs w:val="32"/>
        </w:rPr>
        <w:t>1</w:t>
      </w:r>
      <w:r>
        <w:rPr>
          <w:rFonts w:hint="eastAsia" w:ascii="仿宋" w:hAnsi="仿宋" w:eastAsia="仿宋" w:cs="仿宋"/>
          <w:sz w:val="32"/>
          <w:szCs w:val="32"/>
        </w:rPr>
        <w:t>、细化预算编制工作，认真做好预算的编制。进一步加强内部机构的预算管理意识，严格按照预算编制和要求，本着“勤俭节约”、保障运转”的原则进行预算的编制；编制范围尽可能的全面、不漏项，进一步提高预算编制的科学性、合理性、严谨性和可控性。</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、在日常预算管理过程中，进一步加强预算支出的审核、跟踪及预算执行情况分析。</w:t>
      </w:r>
    </w:p>
    <w:p>
      <w:pPr>
        <w:spacing w:line="600" w:lineRule="exact"/>
        <w:ind w:firstLine="640" w:firstLineChars="200"/>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、进一步加强对固定资产的清查、核实工作，及时清查出已报废的资产，报财政部门审批核销。</w:t>
      </w:r>
    </w:p>
    <w:p>
      <w:pPr>
        <w:ind w:firstLine="640"/>
        <w:rPr>
          <w:rFonts w:ascii="仿宋" w:hAnsi="仿宋" w:eastAsia="仿宋" w:cs="仿宋"/>
          <w:sz w:val="32"/>
          <w:szCs w:val="32"/>
        </w:rPr>
      </w:pPr>
    </w:p>
    <w:p>
      <w:pPr>
        <w:pStyle w:val="3"/>
        <w:spacing w:after="0" w:line="460" w:lineRule="exact"/>
        <w:ind w:left="0" w:leftChars="0" w:firstLine="2720" w:firstLineChars="850"/>
        <w:rPr>
          <w:rFonts w:ascii="仿宋" w:hAnsi="仿宋" w:eastAsia="仿宋" w:cs="Times New Roman"/>
          <w:sz w:val="32"/>
          <w:szCs w:val="32"/>
        </w:rPr>
      </w:pPr>
      <w:r>
        <w:rPr>
          <w:rFonts w:hint="eastAsia" w:ascii="仿宋" w:hAnsi="仿宋" w:eastAsia="仿宋" w:cs="仿宋"/>
          <w:sz w:val="32"/>
          <w:szCs w:val="32"/>
        </w:rPr>
        <w:t>溆浦县人民代表大会常务委员会办公室</w:t>
      </w:r>
    </w:p>
    <w:p>
      <w:pPr>
        <w:pStyle w:val="3"/>
        <w:spacing w:after="0" w:line="460" w:lineRule="exact"/>
        <w:ind w:left="0" w:leftChars="0" w:firstLine="3004" w:firstLineChars="939"/>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 xml:space="preserve"> </w:t>
      </w:r>
      <w:r>
        <w:rPr>
          <w:rFonts w:ascii="仿宋" w:hAnsi="仿宋" w:eastAsia="仿宋" w:cs="仿宋"/>
          <w:sz w:val="32"/>
          <w:szCs w:val="32"/>
        </w:rPr>
        <w:t xml:space="preserve"> 20</w:t>
      </w:r>
      <w:r>
        <w:rPr>
          <w:rFonts w:hint="eastAsia" w:ascii="仿宋" w:hAnsi="仿宋" w:eastAsia="仿宋" w:cs="仿宋"/>
          <w:sz w:val="32"/>
          <w:szCs w:val="32"/>
        </w:rPr>
        <w:t>23年3月15日</w:t>
      </w:r>
    </w:p>
    <w:p>
      <w:pPr>
        <w:ind w:firstLine="640"/>
        <w:rPr>
          <w:rFonts w:ascii="仿宋" w:hAnsi="仿宋" w:eastAsia="仿宋" w:cs="仿宋"/>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uto"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2"/>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4A37B"/>
    <w:multiLevelType w:val="singleLevel"/>
    <w:tmpl w:val="C8E4A37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Njc1MTJmYzUzYTc5MmNjNjIzMDI1ODE2Mzc2Yzc0NzgifQ=="/>
  </w:docVars>
  <w:rsids>
    <w:rsidRoot w:val="3F3068B6"/>
    <w:rsid w:val="00022565"/>
    <w:rsid w:val="000546C5"/>
    <w:rsid w:val="00092AA9"/>
    <w:rsid w:val="00097937"/>
    <w:rsid w:val="000A3C74"/>
    <w:rsid w:val="000A4755"/>
    <w:rsid w:val="000B3A56"/>
    <w:rsid w:val="000B4CA0"/>
    <w:rsid w:val="000C4164"/>
    <w:rsid w:val="000F3534"/>
    <w:rsid w:val="001316CB"/>
    <w:rsid w:val="00143762"/>
    <w:rsid w:val="001A2CE4"/>
    <w:rsid w:val="001B7F84"/>
    <w:rsid w:val="001D25BA"/>
    <w:rsid w:val="00202B7A"/>
    <w:rsid w:val="00244F4F"/>
    <w:rsid w:val="00254D55"/>
    <w:rsid w:val="00261B51"/>
    <w:rsid w:val="002877D5"/>
    <w:rsid w:val="002E52A0"/>
    <w:rsid w:val="00302738"/>
    <w:rsid w:val="00306CA8"/>
    <w:rsid w:val="00354CFA"/>
    <w:rsid w:val="00364673"/>
    <w:rsid w:val="00392B24"/>
    <w:rsid w:val="00397F84"/>
    <w:rsid w:val="003A3C69"/>
    <w:rsid w:val="0043460B"/>
    <w:rsid w:val="00457285"/>
    <w:rsid w:val="00461B99"/>
    <w:rsid w:val="00466955"/>
    <w:rsid w:val="00472AD9"/>
    <w:rsid w:val="004765B4"/>
    <w:rsid w:val="00484B31"/>
    <w:rsid w:val="0049744A"/>
    <w:rsid w:val="004A0ABF"/>
    <w:rsid w:val="004D4814"/>
    <w:rsid w:val="005148D2"/>
    <w:rsid w:val="00520F15"/>
    <w:rsid w:val="00521898"/>
    <w:rsid w:val="005307F0"/>
    <w:rsid w:val="00541D6B"/>
    <w:rsid w:val="00561B76"/>
    <w:rsid w:val="0056234A"/>
    <w:rsid w:val="00565518"/>
    <w:rsid w:val="005725D2"/>
    <w:rsid w:val="0057740F"/>
    <w:rsid w:val="005963D6"/>
    <w:rsid w:val="005C0B30"/>
    <w:rsid w:val="005C1605"/>
    <w:rsid w:val="005D331B"/>
    <w:rsid w:val="005F2322"/>
    <w:rsid w:val="00633D09"/>
    <w:rsid w:val="006417DB"/>
    <w:rsid w:val="0065603D"/>
    <w:rsid w:val="006F6A48"/>
    <w:rsid w:val="00720761"/>
    <w:rsid w:val="0074732F"/>
    <w:rsid w:val="007524BB"/>
    <w:rsid w:val="00754224"/>
    <w:rsid w:val="00754BC6"/>
    <w:rsid w:val="00771A42"/>
    <w:rsid w:val="007C0CFA"/>
    <w:rsid w:val="007D7EF0"/>
    <w:rsid w:val="008101D0"/>
    <w:rsid w:val="00854C12"/>
    <w:rsid w:val="008A23A7"/>
    <w:rsid w:val="008A5023"/>
    <w:rsid w:val="008D2E0B"/>
    <w:rsid w:val="00920E25"/>
    <w:rsid w:val="00964604"/>
    <w:rsid w:val="00972405"/>
    <w:rsid w:val="00984D56"/>
    <w:rsid w:val="00A011DE"/>
    <w:rsid w:val="00A17276"/>
    <w:rsid w:val="00A364D3"/>
    <w:rsid w:val="00A46B28"/>
    <w:rsid w:val="00A577D7"/>
    <w:rsid w:val="00AA090B"/>
    <w:rsid w:val="00AA2CD1"/>
    <w:rsid w:val="00AC3F65"/>
    <w:rsid w:val="00B15393"/>
    <w:rsid w:val="00B557CD"/>
    <w:rsid w:val="00B71BB5"/>
    <w:rsid w:val="00B77733"/>
    <w:rsid w:val="00B9603D"/>
    <w:rsid w:val="00B962B7"/>
    <w:rsid w:val="00BA2142"/>
    <w:rsid w:val="00BA4E57"/>
    <w:rsid w:val="00BD0118"/>
    <w:rsid w:val="00BE123C"/>
    <w:rsid w:val="00BE64CD"/>
    <w:rsid w:val="00C0060A"/>
    <w:rsid w:val="00C0564E"/>
    <w:rsid w:val="00C82521"/>
    <w:rsid w:val="00C864B9"/>
    <w:rsid w:val="00C92274"/>
    <w:rsid w:val="00CB0D13"/>
    <w:rsid w:val="00D379E3"/>
    <w:rsid w:val="00D41D5D"/>
    <w:rsid w:val="00D42A5A"/>
    <w:rsid w:val="00D42E0E"/>
    <w:rsid w:val="00D5684E"/>
    <w:rsid w:val="00DA60EF"/>
    <w:rsid w:val="00DF4774"/>
    <w:rsid w:val="00E740E9"/>
    <w:rsid w:val="00E80B3D"/>
    <w:rsid w:val="00E950E1"/>
    <w:rsid w:val="00EE5B5F"/>
    <w:rsid w:val="00EF07D3"/>
    <w:rsid w:val="00EF0BBD"/>
    <w:rsid w:val="00F07DF0"/>
    <w:rsid w:val="00F369DE"/>
    <w:rsid w:val="00F45E30"/>
    <w:rsid w:val="00F55D58"/>
    <w:rsid w:val="00F662EB"/>
    <w:rsid w:val="00F74843"/>
    <w:rsid w:val="00F7696B"/>
    <w:rsid w:val="00FF554E"/>
    <w:rsid w:val="013637D1"/>
    <w:rsid w:val="04131756"/>
    <w:rsid w:val="06B0048E"/>
    <w:rsid w:val="09A6512D"/>
    <w:rsid w:val="0A0157B3"/>
    <w:rsid w:val="0DE803B9"/>
    <w:rsid w:val="1174794B"/>
    <w:rsid w:val="14E961E0"/>
    <w:rsid w:val="16081F25"/>
    <w:rsid w:val="18CC733B"/>
    <w:rsid w:val="1A8F40AA"/>
    <w:rsid w:val="20914CF8"/>
    <w:rsid w:val="20D64231"/>
    <w:rsid w:val="215B2C30"/>
    <w:rsid w:val="21726BD0"/>
    <w:rsid w:val="22E376C1"/>
    <w:rsid w:val="2342170A"/>
    <w:rsid w:val="242A0B1C"/>
    <w:rsid w:val="26D3563F"/>
    <w:rsid w:val="26E63B25"/>
    <w:rsid w:val="28224A7F"/>
    <w:rsid w:val="29235A79"/>
    <w:rsid w:val="29293882"/>
    <w:rsid w:val="294A79B7"/>
    <w:rsid w:val="2AA9201A"/>
    <w:rsid w:val="2E1D6FFC"/>
    <w:rsid w:val="2F1849C5"/>
    <w:rsid w:val="3030793E"/>
    <w:rsid w:val="30CC1ABC"/>
    <w:rsid w:val="32B30571"/>
    <w:rsid w:val="3602772B"/>
    <w:rsid w:val="361C486A"/>
    <w:rsid w:val="36B51C98"/>
    <w:rsid w:val="3A0C233C"/>
    <w:rsid w:val="3B213E9A"/>
    <w:rsid w:val="3BF834BA"/>
    <w:rsid w:val="3EDC080D"/>
    <w:rsid w:val="3F3068B6"/>
    <w:rsid w:val="429025AA"/>
    <w:rsid w:val="42DB765E"/>
    <w:rsid w:val="43474551"/>
    <w:rsid w:val="447F73ED"/>
    <w:rsid w:val="44CE0C2C"/>
    <w:rsid w:val="454B74FD"/>
    <w:rsid w:val="45B718AC"/>
    <w:rsid w:val="46A25C4E"/>
    <w:rsid w:val="476F287D"/>
    <w:rsid w:val="47CB5A45"/>
    <w:rsid w:val="489A29D1"/>
    <w:rsid w:val="48C80098"/>
    <w:rsid w:val="4D30292E"/>
    <w:rsid w:val="50AC6291"/>
    <w:rsid w:val="51D750BA"/>
    <w:rsid w:val="54837097"/>
    <w:rsid w:val="54A019B1"/>
    <w:rsid w:val="565C2507"/>
    <w:rsid w:val="568E473D"/>
    <w:rsid w:val="59851D75"/>
    <w:rsid w:val="5D307235"/>
    <w:rsid w:val="5D323FC2"/>
    <w:rsid w:val="5D8C3697"/>
    <w:rsid w:val="5E481E1D"/>
    <w:rsid w:val="5ED43970"/>
    <w:rsid w:val="5F230066"/>
    <w:rsid w:val="64281445"/>
    <w:rsid w:val="64CE5939"/>
    <w:rsid w:val="64D75F54"/>
    <w:rsid w:val="656F5A7F"/>
    <w:rsid w:val="657F66F6"/>
    <w:rsid w:val="659B5030"/>
    <w:rsid w:val="6D605FE2"/>
    <w:rsid w:val="6F572DF1"/>
    <w:rsid w:val="70710756"/>
    <w:rsid w:val="72AF44E0"/>
    <w:rsid w:val="73A24BB6"/>
    <w:rsid w:val="7714641D"/>
    <w:rsid w:val="77927171"/>
    <w:rsid w:val="79870D9A"/>
    <w:rsid w:val="7AB10A1B"/>
    <w:rsid w:val="7BA80F7A"/>
    <w:rsid w:val="7E3A7074"/>
    <w:rsid w:val="7E4255CF"/>
    <w:rsid w:val="7F523855"/>
    <w:rsid w:val="7F590A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Body Text Indent 3"/>
    <w:basedOn w:val="1"/>
    <w:qFormat/>
    <w:uiPriority w:val="0"/>
    <w:pPr>
      <w:spacing w:after="120"/>
      <w:ind w:left="200" w:leftChars="200"/>
    </w:pPr>
    <w:rPr>
      <w:rFonts w:eastAsia="华文仿宋"/>
      <w:sz w:val="16"/>
      <w:szCs w:val="16"/>
    </w:rPr>
  </w:style>
  <w:style w:type="character" w:styleId="6">
    <w:name w:val="page number"/>
    <w:basedOn w:val="5"/>
    <w:qFormat/>
    <w:uiPriority w:val="99"/>
  </w:style>
  <w:style w:type="character" w:customStyle="1" w:styleId="7">
    <w:name w:val="页脚 Char"/>
    <w:basedOn w:val="5"/>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4001</Words>
  <Characters>4106</Characters>
  <Lines>1</Lines>
  <Paragraphs>8</Paragraphs>
  <TotalTime>202</TotalTime>
  <ScaleCrop>false</ScaleCrop>
  <LinksUpToDate>false</LinksUpToDate>
  <CharactersWithSpaces>4133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2021-04-22T03:06:00Z</dcterms:created>
  <dc:creator>Administrator</dc:creator>
  <cp:lastModifiedBy>Administrator</cp:lastModifiedBy>
  <cp:lastPrinted>2021-05-06T01:50:00Z</cp:lastPrinted>
  <dcterms:modified xsi:type="dcterms:W3CDTF">2023-08-02T00:51:59Z</dcterms:modified>
  <dc:title>人大机关整体支出绩效自评报告</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0BF6AC0D9CAC413A8CBB4BBAF6929FF1</vt:lpwstr>
  </property>
</Properties>
</file>