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县乡村振兴局2022年度整体支出</w:t>
      </w:r>
    </w:p>
    <w:p>
      <w:pPr>
        <w:spacing w:line="60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绩效自评报告</w:t>
      </w:r>
    </w:p>
    <w:p>
      <w:pPr>
        <w:spacing w:line="600" w:lineRule="exact"/>
        <w:ind w:firstLine="640" w:firstLineChars="200"/>
        <w:rPr>
          <w:rFonts w:hint="eastAsia"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根据县财政局关于开展部门整体支出绩效自评工作要求，现将我单位2022年度部门整体支出自评情况报告如下：</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一、部门概况</w:t>
      </w:r>
    </w:p>
    <w:p>
      <w:pPr>
        <w:spacing w:line="6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（一）部门基本情况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中共溆浦县委办公室文件（溆办法【2019】6号），溆浦县扶贫开发办公室自2019年4月25日下文起已属溆浦县人民政府工作部门，为正科级单位。核定行政编9人，核定全额拨款事业编制10人。2021年5月8日溆浦县扶贫开发办公室更名为溆浦县乡村振兴局，机构性质不变，人员编制不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2022年年末本单位实有行政工作人员11人，实有全额拨款事业编工作人员10人，离退休人员3人，其中提前退休人员1人；另因工作需要向其他单位借调4人，向社会聘用临时人员10人。部门主要职能：</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1、负责守住防止发生规模性返贫底线，做好巩固脱贫成果同乡村振兴有效衔接工作；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2、负责牵头抓好防返贫监测和帮扶工作，对易致返贫人口实施常态化监测和帮扶政策落实；</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3、负责协助县整合办做好巩固脱贫成果同乡村振兴有效衔接项目库建设工作，统筹加强扶贫项目资产管理和监督，建立健全资产管护制度；</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4、参与拟定职责内县级衔接资金分配建议方案，参与县级衔接资金监管和绩效评价，协助县整合办管好用好衔接资金；</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5、负责指导搞好小额信贷、互助资金相关政策落实和监督；</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6、协调做好 “雨露计划”补助发放工作；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7、负责牵头做好社会帮扶工作，开展定点帮扶、行业帮扶及相关考核评价工作，协助开展“万企兴万村”行动，引导更多社会力量支持参与乡村振兴；</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8、负责统筹推进农村卫生厕所改（新）建工作；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9、负责统筹做好巩固拓展脱贫成果同乡村振兴有效衔接年度考核评估；</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10、协助做好易地扶贫搬迁后续帮扶工作，协调搞好革命老区帮扶工作；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11、协助组织部门做好驻村第一书记和工作队选派管理工作和乡村振兴干部培训工作；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12、协助做好承接雨花区对口帮扶工作；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13、承担县委、县政府领导交办的其他事项。</w:t>
      </w:r>
    </w:p>
    <w:p>
      <w:pPr>
        <w:spacing w:line="6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（二）部门整体支出规模、</w:t>
      </w:r>
      <w:bookmarkStart w:id="0" w:name="_GoBack"/>
      <w:bookmarkEnd w:id="0"/>
      <w:r>
        <w:rPr>
          <w:rFonts w:hint="eastAsia" w:ascii="楷体_GB2312" w:hAnsi="楷体_GB2312" w:eastAsia="楷体_GB2312" w:cs="楷体_GB2312"/>
          <w:b/>
          <w:bCs/>
          <w:sz w:val="32"/>
          <w:szCs w:val="32"/>
        </w:rPr>
        <w:t>使用方向和主要内容、涉及范围等</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我单位本年支出合计2772.48万元，其中：基本支出2562.6万元,主要用于人员经费、行政运行、乡村振兴各项工作及驻村帮扶工作队等。项目支出209.8万元，主要用于专项乡村振兴工作日常支出。本次部门整体支出评价与预决算口径保持一致，为县乡村振兴局机关使用资金。</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二、部门整体支出管理及使用情况</w:t>
      </w:r>
    </w:p>
    <w:p>
      <w:pPr>
        <w:spacing w:line="6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（一）基本支出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2022年基本支出2562.6万元，主要用于保障机构运转，履行单位职能。其中：人员经费支出2137.2万元，公用经费支出425.3万元。</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按照县政府及各部门要求，建立健全了财务管理制度、接待制度、用车制度、各类会议制度等。接待制度对人员、标准、接待程序都予以规范，用车制度对车辆管理、维修、费用支出都进行了明确。“三公”经费2022年决算数0万元，主要是公务接待费0万元（2022年发生公务接待）。</w:t>
      </w:r>
    </w:p>
    <w:p>
      <w:pPr>
        <w:spacing w:line="6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（二）专项支出</w:t>
      </w:r>
    </w:p>
    <w:p>
      <w:pPr>
        <w:pStyle w:val="10"/>
        <w:shd w:val="clear" w:color="auto" w:fill="FFFFFF"/>
        <w:spacing w:line="560" w:lineRule="exact"/>
        <w:ind w:firstLine="640" w:firstLineChars="200"/>
        <w:jc w:val="both"/>
        <w:rPr>
          <w:rFonts w:ascii="仿宋_GB2312" w:hAnsi="宋体" w:eastAsia="仿宋_GB2312" w:cs="宋体"/>
          <w:color w:val="000000"/>
          <w:sz w:val="32"/>
          <w:szCs w:val="32"/>
          <w:shd w:val="clear" w:color="auto" w:fill="FFFFFF"/>
        </w:rPr>
      </w:pPr>
      <w:r>
        <w:rPr>
          <w:rFonts w:hint="eastAsia" w:ascii="仿宋_GB2312" w:hAnsi="仿宋_GB2312" w:eastAsia="仿宋_GB2312" w:cs="仿宋_GB2312"/>
          <w:sz w:val="32"/>
          <w:szCs w:val="32"/>
        </w:rPr>
        <w:t>2022年项目支出209.8万元，主要用于专项乡村振兴工作日常支出。</w:t>
      </w:r>
      <w:r>
        <w:rPr>
          <w:rFonts w:hint="eastAsia" w:ascii="仿宋_GB2312" w:hAnsi="宋体" w:eastAsia="仿宋_GB2312" w:cs="宋体"/>
          <w:color w:val="000000"/>
          <w:sz w:val="32"/>
          <w:szCs w:val="32"/>
          <w:shd w:val="clear" w:color="auto" w:fill="FFFFFF"/>
        </w:rPr>
        <w:t>按支出经济分类：商品和服务支出189.35万元，办公设备购置19.3万元，基础设施1.18万元。</w:t>
      </w: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三、部门专项组织实施情况</w:t>
      </w:r>
    </w:p>
    <w:p>
      <w:pPr>
        <w:spacing w:line="6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（一）专项组织情况分析</w:t>
      </w:r>
    </w:p>
    <w:p>
      <w:pPr>
        <w:spacing w:line="560" w:lineRule="exact"/>
        <w:ind w:firstLine="960" w:firstLineChars="300"/>
        <w:rPr>
          <w:rFonts w:ascii="仿宋_GB2312" w:hAnsi="宋体" w:eastAsia="仿宋_GB2312"/>
          <w:sz w:val="32"/>
          <w:szCs w:val="32"/>
        </w:rPr>
      </w:pPr>
      <w:r>
        <w:rPr>
          <w:rFonts w:hint="eastAsia" w:ascii="仿宋_GB2312" w:hAnsi="宋体" w:eastAsia="仿宋_GB2312"/>
          <w:sz w:val="32"/>
          <w:szCs w:val="32"/>
        </w:rPr>
        <w:t>专项资金由县财政局负责审核和管理，负责资金的拨付和审查，资金拨付本单位后，由本单位设置专账统一管理。项目按照严格程序进行申报与立项、实施与管理、项目后期完成等，都由本单位严格把关。</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w:t>
      </w:r>
      <w:r>
        <w:rPr>
          <w:rFonts w:hint="eastAsia" w:ascii="楷体_GB2312" w:hAnsi="楷体_GB2312" w:eastAsia="楷体_GB2312" w:cs="楷体_GB2312"/>
          <w:b/>
          <w:bCs/>
          <w:sz w:val="32"/>
          <w:szCs w:val="32"/>
        </w:rPr>
        <w:t>专项管理情况分析</w:t>
      </w:r>
    </w:p>
    <w:p>
      <w:pPr>
        <w:spacing w:line="600" w:lineRule="exact"/>
        <w:ind w:firstLine="640" w:firstLineChars="200"/>
        <w:rPr>
          <w:rFonts w:ascii="黑体" w:hAnsi="黑体" w:eastAsia="黑体" w:cs="黑体"/>
          <w:sz w:val="32"/>
          <w:szCs w:val="32"/>
        </w:rPr>
      </w:pPr>
      <w:r>
        <w:rPr>
          <w:rFonts w:hint="eastAsia" w:ascii="仿宋_GB2312" w:hAnsi="宋体" w:eastAsia="仿宋_GB2312"/>
          <w:sz w:val="32"/>
          <w:szCs w:val="32"/>
        </w:rPr>
        <w:t>项目单位基本能遵照各项规章制度管理和使用资金，能遵循项目申报指南的要求进行项目组织，较好地完成了项目申请立项、绩效目标和指标的设定。</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四、资产管理情况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严格按照溆浦县财产物资管理制度实施到位，对单位确需购置的固定资产，由使用部门提出申请分管副局长签署意见后，报局长审批或由党组集体讨论决定，对属于政府采购的项目严格执行政府采购，对固定资产的使用实行“谁使用，谁保管、谁维护”的原则。每年6月底、12月底进行两次财产物资的清查盘点工作，2022年固定资产原值62.99万元。</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五、部门整体支出绩效情况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我局对2022年重点工作绩效进行了自评，现将我局2022年工作绩效情况报告如下：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多措并举拓宽农民持续增收的基本路径。基于农民收入构成，出台《关于开展脱贫户和监测对象持续稳定增收“百日攻坚行动”的工作方案》，多措并举拓宽增收渠道、挖掘增收潜力、培育增收动能。一是不断加强精准帮扶，促进就地就近就业创业。就业帮扶车间85家吸纳务工人数3070人，其中脱贫户861人（去年845人）。2022年我县乡村公益性岗位2384人，乡村公益性岗位补贴标准为：10000元/人/年。二是大力推进产业融合，挖掘农村内部增收潜力。鼓励各地拓展农业多种功能、挖掘乡村多元价值，重点发展农产品加工、乡村休闲旅游、农村电商等产业，主体培育了以雪峰食品、绿之然现代农业、嘉菲农业、翱康生物、福香柑橘、淳香果品、君健中药材等市级以上农业产业化龙头企业30家，其中省级龙头企业5家。支持农业产业化龙头企业带动农民发展农产品初加工、精深加工，并通过完善联农带农机制，让农民合理分享全产业链增值收益。今年继续享受产业帮扶脱贫人数132556人，其中新型经营主体带动发展的人数94050人，预计年人均增收金额200元。三是鼓励发展村集体经济，构建农民增收利益联结。全县25个乡镇坚持“一村一品、一乡一业”，积极推行“支部+公司（合作社）+农户”模式，整合资源，因地施策，做大做强“溆浦脐橙”、“溆浦瑶茶”、“溆浦金银花”、宝山云雾茶、雪峰山旅游等一批特色产业,村集体经济不断壮大。构建利益联结机制，坚持把增加群众收入，实现共同富裕作为发展村集体经济的出发点和落脚点，引导群众通过就业务工、合作入股、土地流转等方式增加收入，分享集体经济带来的红利。比如，乡村振兴示范区雪峰山景区鼓励引导4236户14354名群众以山林、土地、房屋等资产折价入股，吸纳近3000名村民名参与景区项目施工，700余人在景区就近就业，实现了产业带动就业，就业促进增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建设防返贫“人防+技防”动态监测帮扶管理平台。一是“人防”与“技防”紧密结合。人防方面：一是健全网络。充分发挥微网格作用，以微网格为基本单元，把监测帮扶工作前移压实到微网格。实行“五包”工作责任体系：网格长包微网格，结对干部包户，村“两委”、驻村工作队和乡镇驻村干部包村，联乡镇县领导和党委书记、乡镇长包乡镇。网络体系和人员录入管理平台，实行实时管理。二是动态排查。按照“一周一排查、一月一走访、一月一预警”的要求，及时上传排查整改有关信息，据实反映网格内所有农户特别是重点对象的生活生产状况。三是限时清零。对所有排查和交办的问题，在7个工作日内整改到位，并持续跟踪问效。技防方面：依托前期已经建立运行的防返贫监测帮扶平台，进一步进行完善。重点突出动态管理功能、即时发布功能、跟踪销号功能。对所有疑似数据和信息，在交办线下核查的同时一并在平台上显示，滚动公布，做到问题交办、核查结果、帮扶措施、帮扶成效、问题销号、责任包保实行全过程监管、动态监管，充分发挥平台在防返贫方面的功能作用。二是线上与线下同步联动。线上比对发现问题，线下核查整改；线上数据信息运行，线下人员入格访户；线下工作情况线上实时掌控。三是监测与帮扶无缝衔接。围绕防返贫这一根本目标，把监测与帮扶紧急结合、无缝衔接，监测发现的问题第一时间核查帮扶到位；帮扶不到位的问题线上不销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溆浦县探索“一园一品一机制”，推动对口帮扶结硕果。共建一个园区，成立两地主要领导任组长的领导小组，互派人员联合办公，共同制定发展规划，仅6个月完成30万平米的标准厂房建设。组建联合小分队开展精准招商，储备入园企业12家，签约7家，投产3家、完成投资2.83亿元。共建一个品牌，开展“雨溆”品牌共建，组织6家企业赴溆开展基地直采，往长沙销售柑桔2万余吨，为桔农增收2000万元。在高桥自贸区设立专区专馆，32种溆浦产品出口国外，实现外贸进出口总额2.33亿元，增长300%。大力宣传推广“南国雪峰、湘村老家”文旅品牌，赴溆浦旅游人数达377.68万人次，旅游总收入近20亿元。共建一套机制，建立“五挂钩五转移”机制，互派挂职干部21人，专技人才51人，5960名劳动力转移到雨花区就业。建立“三监督三个一”机制，创新“村务卡”“廉情监督员”做法，为乡村振兴保驾护航。</w:t>
      </w:r>
    </w:p>
    <w:p>
      <w:pPr>
        <w:ind w:firstLine="562" w:firstLineChars="200"/>
        <w:rPr>
          <w:rFonts w:ascii="黑体" w:hAnsi="宋体" w:eastAsia="黑体"/>
          <w:b/>
          <w:sz w:val="28"/>
          <w:szCs w:val="28"/>
        </w:rPr>
      </w:pPr>
      <w:r>
        <w:rPr>
          <w:rFonts w:hint="eastAsia" w:ascii="黑体" w:hAnsi="宋体" w:eastAsia="黑体"/>
          <w:b/>
          <w:sz w:val="28"/>
          <w:szCs w:val="28"/>
        </w:rPr>
        <w:t>六、存在的主要问题</w:t>
      </w:r>
    </w:p>
    <w:p>
      <w:pPr>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 xml:space="preserve">  无</w:t>
      </w:r>
    </w:p>
    <w:p>
      <w:pPr>
        <w:pStyle w:val="2"/>
        <w:numPr>
          <w:ilvl w:val="0"/>
          <w:numId w:val="1"/>
        </w:numPr>
        <w:ind w:firstLine="562"/>
        <w:rPr>
          <w:rFonts w:ascii="黑体" w:hAnsi="宋体" w:eastAsia="黑体"/>
          <w:b/>
          <w:sz w:val="28"/>
          <w:szCs w:val="28"/>
        </w:rPr>
      </w:pPr>
      <w:r>
        <w:rPr>
          <w:rFonts w:hint="eastAsia" w:ascii="黑体" w:hAnsi="宋体" w:eastAsia="黑体"/>
          <w:b/>
          <w:sz w:val="28"/>
          <w:szCs w:val="28"/>
        </w:rPr>
        <w:t>改进措施和有关建议</w:t>
      </w:r>
    </w:p>
    <w:p>
      <w:pPr>
        <w:pStyle w:val="2"/>
        <w:ind w:left="420" w:leftChars="200" w:firstLine="0" w:firstLineChars="0"/>
        <w:rPr>
          <w:rFonts w:ascii="仿宋_GB2312" w:hAnsi="宋体"/>
          <w:sz w:val="28"/>
          <w:szCs w:val="28"/>
        </w:rPr>
      </w:pPr>
      <w:r>
        <w:rPr>
          <w:rFonts w:hint="eastAsia" w:ascii="仿宋_GB2312" w:hAnsi="宋体"/>
          <w:sz w:val="28"/>
          <w:szCs w:val="28"/>
        </w:rPr>
        <w:t xml:space="preserve">  无</w:t>
      </w:r>
    </w:p>
    <w:sectPr>
      <w:pgSz w:w="11906" w:h="16838"/>
      <w:pgMar w:top="2154" w:right="1814" w:bottom="1701" w:left="181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大标宋简体">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F3AE75"/>
    <w:multiLevelType w:val="singleLevel"/>
    <w:tmpl w:val="B7F3AE75"/>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57AF59C7"/>
    <w:rsid w:val="00004465"/>
    <w:rsid w:val="000405D3"/>
    <w:rsid w:val="00073015"/>
    <w:rsid w:val="000E541C"/>
    <w:rsid w:val="000F6828"/>
    <w:rsid w:val="00125EF0"/>
    <w:rsid w:val="0020267B"/>
    <w:rsid w:val="00242127"/>
    <w:rsid w:val="002908B1"/>
    <w:rsid w:val="002B6B6B"/>
    <w:rsid w:val="002E408A"/>
    <w:rsid w:val="00301982"/>
    <w:rsid w:val="00310C90"/>
    <w:rsid w:val="0037378B"/>
    <w:rsid w:val="003B24C0"/>
    <w:rsid w:val="00405DCC"/>
    <w:rsid w:val="004272F9"/>
    <w:rsid w:val="004E246E"/>
    <w:rsid w:val="00547224"/>
    <w:rsid w:val="005D7000"/>
    <w:rsid w:val="005E35D1"/>
    <w:rsid w:val="00620B58"/>
    <w:rsid w:val="006501AD"/>
    <w:rsid w:val="00686816"/>
    <w:rsid w:val="007171BA"/>
    <w:rsid w:val="00740FD2"/>
    <w:rsid w:val="007A2485"/>
    <w:rsid w:val="0083180C"/>
    <w:rsid w:val="008B11D3"/>
    <w:rsid w:val="00906F80"/>
    <w:rsid w:val="00936385"/>
    <w:rsid w:val="009441B7"/>
    <w:rsid w:val="009F289E"/>
    <w:rsid w:val="00A202E8"/>
    <w:rsid w:val="00A45A81"/>
    <w:rsid w:val="00AC2BFE"/>
    <w:rsid w:val="00C81E18"/>
    <w:rsid w:val="00CD586F"/>
    <w:rsid w:val="00CD751C"/>
    <w:rsid w:val="00D109D2"/>
    <w:rsid w:val="00D24410"/>
    <w:rsid w:val="00D52FE9"/>
    <w:rsid w:val="00F45CA0"/>
    <w:rsid w:val="00FE7D0B"/>
    <w:rsid w:val="05E67AAD"/>
    <w:rsid w:val="0A483E50"/>
    <w:rsid w:val="0ACB60E0"/>
    <w:rsid w:val="0C701FB2"/>
    <w:rsid w:val="0CBA303A"/>
    <w:rsid w:val="0D0D65BB"/>
    <w:rsid w:val="0E594609"/>
    <w:rsid w:val="0F0A5BFE"/>
    <w:rsid w:val="114128DD"/>
    <w:rsid w:val="127E2125"/>
    <w:rsid w:val="14755253"/>
    <w:rsid w:val="14D5410A"/>
    <w:rsid w:val="184D0A73"/>
    <w:rsid w:val="1B377063"/>
    <w:rsid w:val="1E281A99"/>
    <w:rsid w:val="1E8D0EBF"/>
    <w:rsid w:val="22422E65"/>
    <w:rsid w:val="261576A5"/>
    <w:rsid w:val="2A4D0393"/>
    <w:rsid w:val="2B387401"/>
    <w:rsid w:val="2BF14420"/>
    <w:rsid w:val="34CF54CC"/>
    <w:rsid w:val="37A9299A"/>
    <w:rsid w:val="42F030A0"/>
    <w:rsid w:val="45BA0DFB"/>
    <w:rsid w:val="45C32E24"/>
    <w:rsid w:val="462F071A"/>
    <w:rsid w:val="476606B7"/>
    <w:rsid w:val="492A6E79"/>
    <w:rsid w:val="4EEE3BC2"/>
    <w:rsid w:val="53D157EC"/>
    <w:rsid w:val="544311E7"/>
    <w:rsid w:val="57AF59C7"/>
    <w:rsid w:val="5C91246D"/>
    <w:rsid w:val="5D515B93"/>
    <w:rsid w:val="5E505DC3"/>
    <w:rsid w:val="5FCD01E6"/>
    <w:rsid w:val="646B4A0A"/>
    <w:rsid w:val="6CC22057"/>
    <w:rsid w:val="6D535020"/>
    <w:rsid w:val="6DAB3D61"/>
    <w:rsid w:val="6EF73EF7"/>
    <w:rsid w:val="71257F5A"/>
    <w:rsid w:val="71582122"/>
    <w:rsid w:val="748B6A04"/>
    <w:rsid w:val="75F20EED"/>
    <w:rsid w:val="76527715"/>
    <w:rsid w:val="76D17EF5"/>
    <w:rsid w:val="7A242B8E"/>
    <w:rsid w:val="7B5B67F1"/>
    <w:rsid w:val="7C9D2A5C"/>
    <w:rsid w:val="7E9948A0"/>
    <w:rsid w:val="7F977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99" w:name="index 5"/>
    <w:lsdException w:qFormat="1" w:unhideWhenUsed="0"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after="0"/>
      <w:ind w:left="0" w:leftChars="0" w:firstLine="420" w:firstLineChars="200"/>
    </w:pPr>
    <w:rPr>
      <w:rFonts w:eastAsia="仿宋_GB2312"/>
      <w:sz w:val="36"/>
      <w:szCs w:val="36"/>
    </w:rPr>
  </w:style>
  <w:style w:type="paragraph" w:styleId="3">
    <w:name w:val="Body Text Indent"/>
    <w:basedOn w:val="1"/>
    <w:unhideWhenUsed/>
    <w:qFormat/>
    <w:uiPriority w:val="99"/>
    <w:pPr>
      <w:spacing w:after="120"/>
      <w:ind w:left="420" w:leftChars="200"/>
    </w:pPr>
  </w:style>
  <w:style w:type="paragraph" w:styleId="4">
    <w:name w:val="Normal Indent"/>
    <w:basedOn w:val="1"/>
    <w:next w:val="5"/>
    <w:unhideWhenUsed/>
    <w:qFormat/>
    <w:uiPriority w:val="99"/>
    <w:pPr>
      <w:ind w:firstLine="420" w:firstLineChars="200"/>
    </w:pPr>
  </w:style>
  <w:style w:type="paragraph" w:styleId="5">
    <w:name w:val="index 6"/>
    <w:basedOn w:val="1"/>
    <w:next w:val="1"/>
    <w:qFormat/>
    <w:uiPriority w:val="99"/>
    <w:pPr>
      <w:ind w:left="1000" w:leftChars="1000"/>
    </w:pPr>
  </w:style>
  <w:style w:type="paragraph" w:styleId="6">
    <w:name w:val="index 5"/>
    <w:basedOn w:val="1"/>
    <w:next w:val="1"/>
    <w:semiHidden/>
    <w:qFormat/>
    <w:uiPriority w:val="99"/>
    <w:pPr>
      <w:ind w:left="1680" w:firstLine="200" w:firstLineChars="200"/>
    </w:pPr>
    <w:rPr>
      <w:rFonts w:ascii="仿宋_GB2312" w:hAnsi="Times New Roman" w:eastAsia="仿宋_GB2312" w:cs="仿宋_GB2312"/>
      <w:sz w:val="32"/>
      <w:szCs w:val="32"/>
    </w:rPr>
  </w:style>
  <w:style w:type="paragraph" w:styleId="7">
    <w:name w:val="Body Text"/>
    <w:basedOn w:val="1"/>
    <w:next w:val="4"/>
    <w:qFormat/>
    <w:uiPriority w:val="0"/>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jc w:val="left"/>
    </w:pPr>
    <w:rPr>
      <w:rFonts w:cs="Times New Roman"/>
      <w:kern w:val="0"/>
      <w:sz w:val="24"/>
    </w:rPr>
  </w:style>
  <w:style w:type="character" w:styleId="13">
    <w:name w:val="Strong"/>
    <w:basedOn w:val="12"/>
    <w:qFormat/>
    <w:uiPriority w:val="0"/>
    <w:rPr>
      <w:b/>
    </w:rPr>
  </w:style>
  <w:style w:type="character" w:styleId="14">
    <w:name w:val="FollowedHyperlink"/>
    <w:basedOn w:val="12"/>
    <w:qFormat/>
    <w:uiPriority w:val="0"/>
    <w:rPr>
      <w:color w:val="333333"/>
      <w:u w:val="none"/>
    </w:rPr>
  </w:style>
  <w:style w:type="character" w:styleId="15">
    <w:name w:val="Emphasis"/>
    <w:basedOn w:val="12"/>
    <w:qFormat/>
    <w:uiPriority w:val="0"/>
  </w:style>
  <w:style w:type="character" w:styleId="16">
    <w:name w:val="Hyperlink"/>
    <w:basedOn w:val="12"/>
    <w:qFormat/>
    <w:uiPriority w:val="0"/>
    <w:rPr>
      <w:color w:val="333333"/>
      <w:u w:val="none"/>
    </w:rPr>
  </w:style>
  <w:style w:type="paragraph" w:customStyle="1" w:styleId="17">
    <w:name w:val="正  文"/>
    <w:basedOn w:val="1"/>
    <w:next w:val="1"/>
    <w:qFormat/>
    <w:uiPriority w:val="0"/>
    <w:pPr>
      <w:spacing w:line="360" w:lineRule="auto"/>
      <w:ind w:firstLine="560" w:firstLineChars="200"/>
    </w:pPr>
    <w:rPr>
      <w:rFonts w:ascii="宋体" w:hAnsi="宋体" w:cs="仿宋_GB2312"/>
      <w:sz w:val="24"/>
      <w:szCs w:val="28"/>
    </w:rPr>
  </w:style>
  <w:style w:type="paragraph" w:customStyle="1" w:styleId="18">
    <w:name w:val="p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9">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20">
    <w:name w:val="页眉 Char"/>
    <w:basedOn w:val="12"/>
    <w:link w:val="9"/>
    <w:qFormat/>
    <w:uiPriority w:val="0"/>
    <w:rPr>
      <w:kern w:val="2"/>
      <w:sz w:val="18"/>
      <w:szCs w:val="18"/>
    </w:rPr>
  </w:style>
  <w:style w:type="character" w:customStyle="1" w:styleId="21">
    <w:name w:val="页脚 Char"/>
    <w:basedOn w:val="12"/>
    <w:link w:val="8"/>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2BAE754-1F94-484A-843D-B543A87D089F}">
  <ds:schemaRefs/>
</ds:datastoreItem>
</file>

<file path=docProps/app.xml><?xml version="1.0" encoding="utf-8"?>
<Properties xmlns="http://schemas.openxmlformats.org/officeDocument/2006/extended-properties" xmlns:vt="http://schemas.openxmlformats.org/officeDocument/2006/docPropsVTypes">
  <Template>0</Template>
  <Pages>8</Pages>
  <Words>3255</Words>
  <Characters>3427</Characters>
  <Lines>24</Lines>
  <Paragraphs>6</Paragraphs>
  <TotalTime>21</TotalTime>
  <ScaleCrop>false</ScaleCrop>
  <LinksUpToDate>false</LinksUpToDate>
  <CharactersWithSpaces>3432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2018-06-29T08:12:00Z</dcterms:created>
  <dc:creator>舒服</dc:creator>
  <cp:lastModifiedBy>Administrator</cp:lastModifiedBy>
  <cp:lastPrinted>2023-06-14T00:44:00Z</cp:lastPrinted>
  <dcterms:modified xsi:type="dcterms:W3CDTF">2023-08-04T02:43:33Z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4F3A31120C8844CF9C9F60DA696DC3CF_13</vt:lpwstr>
  </property>
</Properties>
</file>