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简体" w:hAnsi="方正小标宋简体" w:eastAsia="方正小标宋简体" w:cs="方正小标宋简体"/>
          <w:sz w:val="44"/>
          <w:szCs w:val="44"/>
          <w:lang w:eastAsia="zh-CN"/>
        </w:rPr>
      </w:pPr>
      <w:r>
        <w:rPr>
          <w:rFonts w:hint="eastAsia" w:ascii="方正小标宋简体" w:hAnsi="方正小标宋简体" w:eastAsia="方正小标宋简体" w:cs="方正小标宋简体"/>
          <w:sz w:val="44"/>
          <w:szCs w:val="44"/>
          <w:lang w:eastAsia="zh-CN"/>
        </w:rPr>
        <w:t>中共溆浦县委组织部</w:t>
      </w: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部门整体支出绩效自评报告</w:t>
      </w:r>
    </w:p>
    <w:p>
      <w:pPr>
        <w:widowControl/>
        <w:shd w:val="clear" w:color="auto" w:fill="FFFFFF"/>
        <w:spacing w:line="600" w:lineRule="atLeast"/>
        <w:ind w:firstLine="640"/>
        <w:rPr>
          <w:rFonts w:hint="eastAsia" w:ascii="楷体" w:hAnsi="楷体" w:eastAsia="楷体"/>
          <w:b/>
          <w:spacing w:val="-2"/>
          <w:sz w:val="32"/>
          <w:szCs w:val="32"/>
        </w:rPr>
      </w:pPr>
    </w:p>
    <w:p>
      <w:pPr>
        <w:shd w:val="clear" w:color="auto" w:fill="FFFFFF"/>
        <w:spacing w:line="640" w:lineRule="exact"/>
        <w:ind w:firstLine="640"/>
        <w:rPr>
          <w:rFonts w:hint="eastAsia" w:ascii="黑体" w:hAnsi="黑体" w:eastAsia="黑体"/>
          <w:spacing w:val="-2"/>
          <w:sz w:val="32"/>
          <w:szCs w:val="21"/>
        </w:rPr>
      </w:pPr>
      <w:r>
        <w:rPr>
          <w:rFonts w:hint="eastAsia" w:ascii="黑体" w:hAnsi="黑体" w:eastAsia="黑体"/>
          <w:spacing w:val="-2"/>
          <w:sz w:val="32"/>
          <w:szCs w:val="32"/>
        </w:rPr>
        <w:t>一、部门概况</w:t>
      </w:r>
      <w:bookmarkStart w:id="0" w:name="_GoBack"/>
      <w:bookmarkEnd w:id="0"/>
    </w:p>
    <w:p>
      <w:pPr>
        <w:keepNext w:val="0"/>
        <w:keepLines w:val="0"/>
        <w:pageBreakBefore w:val="0"/>
        <w:shd w:val="clear" w:color="auto" w:fill="FFFFFF"/>
        <w:kinsoku/>
        <w:wordWrap/>
        <w:overflowPunct/>
        <w:topLinePunct w:val="0"/>
        <w:bidi w:val="0"/>
        <w:snapToGrid/>
        <w:spacing w:line="600" w:lineRule="exact"/>
        <w:ind w:firstLine="643"/>
        <w:textAlignment w:val="auto"/>
        <w:rPr>
          <w:rFonts w:hint="eastAsia" w:ascii="楷体_GB2312" w:hAnsi="楷体_GB2312" w:eastAsia="楷体_GB2312" w:cs="楷体_GB2312"/>
          <w:b/>
          <w:spacing w:val="-2"/>
          <w:sz w:val="32"/>
          <w:szCs w:val="32"/>
        </w:rPr>
      </w:pPr>
      <w:r>
        <w:rPr>
          <w:rFonts w:hint="eastAsia" w:ascii="楷体_GB2312" w:hAnsi="楷体_GB2312" w:eastAsia="楷体_GB2312" w:cs="楷体_GB2312"/>
          <w:b/>
          <w:spacing w:val="-2"/>
          <w:sz w:val="32"/>
          <w:szCs w:val="32"/>
        </w:rPr>
        <w:t>（一）部门基本情况</w:t>
      </w:r>
    </w:p>
    <w:p>
      <w:pPr>
        <w:shd w:val="clear" w:color="auto" w:fill="FFFFFF"/>
        <w:spacing w:line="640" w:lineRule="exact"/>
        <w:ind w:firstLine="640"/>
        <w:rPr>
          <w:rFonts w:hint="eastAsia" w:ascii="仿宋_GB2312" w:hAnsi="仿宋" w:eastAsia="仿宋_GB2312"/>
          <w:spacing w:val="-6"/>
          <w:sz w:val="32"/>
          <w:szCs w:val="32"/>
          <w:lang w:val="en-US" w:eastAsia="zh-CN"/>
        </w:rPr>
      </w:pPr>
      <w:r>
        <w:rPr>
          <w:rFonts w:hint="eastAsia" w:ascii="仿宋_GB2312" w:hAnsi="仿宋" w:eastAsia="仿宋_GB2312"/>
          <w:spacing w:val="-6"/>
          <w:sz w:val="32"/>
          <w:szCs w:val="32"/>
          <w:lang w:val="en-US" w:eastAsia="zh-CN"/>
        </w:rPr>
        <w:t>2022年年末，我部核定编制35名，实有人数27人其中：行政人员27人、离退休人员13人。部机关内设内设行政业务机构12个，分别是：办公室（新闻宣传办公室）、研究室（政策法规室）、县委基层办、党建工作组（党代表联络办）、干部工作组（干部队伍建设规划办公室、公选办）、公务员管理办公室、干部档案信息管理室、干部教育监督组（举报中心）、人才工作组、县委非公有制经济组织和社会组织工作委员会办公室、县直机关工作委员会办公室、老干部工作办公室（离退休干部党工委办公室、县关心下一代工作委员会办公室）、绩效办等11个职能组室。</w:t>
      </w:r>
    </w:p>
    <w:p>
      <w:pPr>
        <w:keepNext w:val="0"/>
        <w:keepLines w:val="0"/>
        <w:pageBreakBefore w:val="0"/>
        <w:shd w:val="clear" w:color="auto" w:fill="FFFFFF"/>
        <w:kinsoku/>
        <w:wordWrap/>
        <w:overflowPunct/>
        <w:topLinePunct w:val="0"/>
        <w:bidi w:val="0"/>
        <w:snapToGrid/>
        <w:spacing w:line="600" w:lineRule="exact"/>
        <w:ind w:firstLine="640"/>
        <w:textAlignment w:val="auto"/>
        <w:rPr>
          <w:rFonts w:hint="eastAsia" w:ascii="仿宋_GB2312" w:hAnsi="仿宋" w:eastAsia="仿宋_GB2312"/>
          <w:spacing w:val="-6"/>
          <w:sz w:val="32"/>
          <w:szCs w:val="32"/>
          <w:lang w:val="en-US" w:eastAsia="zh-CN"/>
        </w:rPr>
      </w:pPr>
      <w:r>
        <w:rPr>
          <w:rFonts w:hint="eastAsia" w:ascii="仿宋_GB2312" w:hAnsi="仿宋" w:eastAsia="仿宋_GB2312"/>
          <w:spacing w:val="-6"/>
          <w:sz w:val="32"/>
          <w:szCs w:val="32"/>
          <w:lang w:val="en-US" w:eastAsia="zh-CN"/>
        </w:rPr>
        <w:t>下辖3个公益一类全额拨款且财务不独立副科级事业单位。县党员教育中心，核定全额拨款事业编制5名，现有事业人员3人；县人才发展服务中心，核定全额拨款事业编制3名，现有事业人员1人；县绩效评估事务中心，核定全额拨款事业编制4名，现有事业人员4名。</w:t>
      </w:r>
    </w:p>
    <w:p>
      <w:pPr>
        <w:keepNext w:val="0"/>
        <w:keepLines w:val="0"/>
        <w:pageBreakBefore w:val="0"/>
        <w:shd w:val="clear" w:color="auto" w:fill="FFFFFF"/>
        <w:kinsoku/>
        <w:wordWrap/>
        <w:overflowPunct/>
        <w:topLinePunct w:val="0"/>
        <w:bidi w:val="0"/>
        <w:snapToGrid/>
        <w:spacing w:line="600" w:lineRule="exact"/>
        <w:ind w:firstLine="640"/>
        <w:textAlignment w:val="auto"/>
        <w:rPr>
          <w:rFonts w:hint="eastAsia" w:ascii="仿宋_GB2312" w:hAnsi="仿宋" w:eastAsia="仿宋_GB2312"/>
          <w:spacing w:val="-6"/>
          <w:sz w:val="32"/>
          <w:szCs w:val="32"/>
          <w:lang w:val="en-US" w:eastAsia="zh-CN"/>
        </w:rPr>
      </w:pPr>
      <w:r>
        <w:rPr>
          <w:rFonts w:hint="eastAsia" w:ascii="仿宋_GB2312" w:hAnsi="仿宋" w:eastAsia="仿宋_GB2312"/>
          <w:spacing w:val="-6"/>
          <w:sz w:val="32"/>
          <w:szCs w:val="32"/>
          <w:lang w:val="en-US" w:eastAsia="zh-CN"/>
        </w:rPr>
        <w:t>另外，本单位无独立核算的二级机构。</w:t>
      </w:r>
    </w:p>
    <w:p>
      <w:pPr>
        <w:keepNext w:val="0"/>
        <w:keepLines w:val="0"/>
        <w:pageBreakBefore w:val="0"/>
        <w:widowControl/>
        <w:kinsoku/>
        <w:wordWrap/>
        <w:overflowPunct/>
        <w:topLinePunct w:val="0"/>
        <w:bidi w:val="0"/>
        <w:snapToGrid/>
        <w:spacing w:line="600" w:lineRule="exact"/>
        <w:ind w:firstLine="643" w:firstLineChars="200"/>
        <w:textAlignment w:val="auto"/>
        <w:rPr>
          <w:rFonts w:hint="eastAsia" w:ascii="仿宋_GB2312" w:hAnsi="仿宋" w:eastAsia="仿宋_GB2312"/>
          <w:spacing w:val="-6"/>
          <w:sz w:val="32"/>
          <w:szCs w:val="32"/>
          <w:lang w:val="en-US" w:eastAsia="zh-CN"/>
        </w:rPr>
      </w:pPr>
      <w:r>
        <w:rPr>
          <w:rFonts w:hint="eastAsia" w:eastAsia="仿宋_GB2312"/>
          <w:b/>
          <w:color w:val="000000"/>
          <w:kern w:val="0"/>
          <w:sz w:val="32"/>
          <w:szCs w:val="32"/>
        </w:rPr>
        <w:t>本单位主要职能</w:t>
      </w:r>
      <w:r>
        <w:rPr>
          <w:rFonts w:hint="eastAsia" w:eastAsia="仿宋_GB2312"/>
          <w:b/>
          <w:color w:val="000000"/>
          <w:kern w:val="0"/>
          <w:sz w:val="32"/>
          <w:szCs w:val="32"/>
          <w:lang w:eastAsia="zh-CN"/>
        </w:rPr>
        <w:t>：</w:t>
      </w:r>
    </w:p>
    <w:p>
      <w:pPr>
        <w:shd w:val="clear" w:color="auto" w:fill="FFFFFF"/>
        <w:spacing w:line="640" w:lineRule="exact"/>
        <w:ind w:firstLine="640"/>
        <w:rPr>
          <w:rFonts w:hint="eastAsia" w:ascii="仿宋_GB2312" w:hAnsi="仿宋" w:eastAsia="仿宋_GB2312"/>
          <w:spacing w:val="-2"/>
          <w:sz w:val="32"/>
          <w:szCs w:val="32"/>
        </w:rPr>
      </w:pPr>
      <w:r>
        <w:rPr>
          <w:rFonts w:hint="eastAsia" w:ascii="仿宋_GB2312" w:hAnsi="仿宋" w:eastAsia="仿宋_GB2312"/>
          <w:spacing w:val="-2"/>
          <w:sz w:val="32"/>
          <w:szCs w:val="32"/>
        </w:rPr>
        <w:t>1、研究和指导全县党组织特别是党的基层组织建设；研究和指导各类新的经济组织中党组织的设置和活动方式；研究和提出党内生活制度建设的意见；协调、规划和指导全县党员教育工作；主管党员的管理和发展工作；组织新时期党的建设的理论研究。</w:t>
      </w:r>
    </w:p>
    <w:p>
      <w:pPr>
        <w:shd w:val="clear" w:color="auto" w:fill="FFFFFF"/>
        <w:spacing w:line="640" w:lineRule="exact"/>
        <w:ind w:firstLine="640"/>
        <w:rPr>
          <w:rFonts w:hint="eastAsia" w:ascii="仿宋_GB2312" w:hAnsi="仿宋" w:eastAsia="仿宋_GB2312"/>
          <w:spacing w:val="-2"/>
          <w:sz w:val="32"/>
          <w:szCs w:val="32"/>
        </w:rPr>
      </w:pPr>
      <w:r>
        <w:rPr>
          <w:rFonts w:hint="eastAsia" w:ascii="仿宋_GB2312" w:hAnsi="仿宋" w:eastAsia="仿宋_GB2312"/>
          <w:spacing w:val="-2"/>
          <w:sz w:val="32"/>
          <w:szCs w:val="32"/>
        </w:rPr>
        <w:t>2、提出关于全县各乡镇和县直各部门以及其他列入县委管理的领导班子调整、配备的意见和建议；负责县委管理干部的考察和办理任免、工资、待遇、退(离)休审批手续；指导乡科级领导班子的思想作风建设；负责县委管理的乡科级领导班子、科级干部及党群部门股级(含股级)以下工作人员的考核、奖惩及实施公务员管理工作；承办部分干部的调配、交流及安置事宜。</w:t>
      </w:r>
    </w:p>
    <w:p>
      <w:pPr>
        <w:shd w:val="clear" w:color="auto" w:fill="FFFFFF"/>
        <w:spacing w:line="640" w:lineRule="exact"/>
        <w:ind w:firstLine="640"/>
        <w:rPr>
          <w:rFonts w:hint="eastAsia" w:ascii="仿宋_GB2312" w:hAnsi="仿宋" w:eastAsia="仿宋_GB2312"/>
          <w:spacing w:val="-2"/>
          <w:sz w:val="32"/>
          <w:szCs w:val="32"/>
        </w:rPr>
      </w:pPr>
      <w:r>
        <w:rPr>
          <w:rFonts w:hint="eastAsia" w:ascii="仿宋_GB2312" w:hAnsi="仿宋" w:eastAsia="仿宋_GB2312"/>
          <w:spacing w:val="-2"/>
          <w:sz w:val="32"/>
          <w:szCs w:val="32"/>
        </w:rPr>
        <w:t>3、负责对全县乡科级领导班子和领导干部的监督工作；负责对全县党委(党组)及组织(人事)部门贯彻党的干部路线、方针、政策和执行干部选拔任用纪律情况的监督。</w:t>
      </w:r>
    </w:p>
    <w:p>
      <w:pPr>
        <w:shd w:val="clear" w:color="auto" w:fill="FFFFFF"/>
        <w:spacing w:line="640" w:lineRule="exact"/>
        <w:ind w:firstLine="640"/>
        <w:rPr>
          <w:rFonts w:hint="eastAsia" w:ascii="仿宋_GB2312" w:hAnsi="仿宋" w:eastAsia="仿宋_GB2312"/>
          <w:spacing w:val="-2"/>
          <w:sz w:val="32"/>
          <w:szCs w:val="32"/>
        </w:rPr>
      </w:pPr>
      <w:r>
        <w:rPr>
          <w:rFonts w:hint="eastAsia" w:ascii="仿宋_GB2312" w:hAnsi="仿宋" w:eastAsia="仿宋_GB2312"/>
          <w:spacing w:val="-2"/>
          <w:sz w:val="32"/>
          <w:szCs w:val="32"/>
        </w:rPr>
        <w:t>4、研究制定全县干部队伍建设的方针、政策，负责全县干部队伍建设的宏观指导工作；组织落实培养选拔后备干部、女干部、少数民族干部工作。</w:t>
      </w:r>
    </w:p>
    <w:p>
      <w:pPr>
        <w:shd w:val="clear" w:color="auto" w:fill="FFFFFF"/>
        <w:spacing w:line="640" w:lineRule="exact"/>
        <w:ind w:firstLine="640"/>
        <w:rPr>
          <w:rFonts w:hint="eastAsia" w:ascii="仿宋_GB2312" w:hAnsi="仿宋" w:eastAsia="仿宋_GB2312"/>
          <w:spacing w:val="-2"/>
          <w:sz w:val="32"/>
          <w:szCs w:val="32"/>
        </w:rPr>
      </w:pPr>
      <w:r>
        <w:rPr>
          <w:rFonts w:hint="eastAsia" w:ascii="仿宋_GB2312" w:hAnsi="仿宋" w:eastAsia="仿宋_GB2312"/>
          <w:spacing w:val="-2"/>
          <w:sz w:val="32"/>
          <w:szCs w:val="32"/>
        </w:rPr>
        <w:t>5、从宏观上研究和指导全县党的组织制度和干部人事制度的改革，制订或参与制订全县组织、干部、人事工作的重要政策和制度。</w:t>
      </w:r>
    </w:p>
    <w:p>
      <w:pPr>
        <w:shd w:val="clear" w:color="auto" w:fill="FFFFFF"/>
        <w:spacing w:line="640" w:lineRule="exact"/>
        <w:ind w:firstLine="640"/>
        <w:rPr>
          <w:rFonts w:hint="eastAsia" w:ascii="仿宋_GB2312" w:hAnsi="仿宋" w:eastAsia="仿宋_GB2312"/>
          <w:spacing w:val="-2"/>
          <w:sz w:val="32"/>
          <w:szCs w:val="32"/>
        </w:rPr>
      </w:pPr>
      <w:r>
        <w:rPr>
          <w:rFonts w:hint="eastAsia" w:ascii="仿宋_GB2312" w:hAnsi="仿宋" w:eastAsia="仿宋_GB2312"/>
          <w:spacing w:val="-2"/>
          <w:sz w:val="32"/>
          <w:szCs w:val="32"/>
        </w:rPr>
        <w:t>6、负责全县组织工作和干部工作的检查督促，及时向县委反映重要情况，提出建议。</w:t>
      </w:r>
    </w:p>
    <w:p>
      <w:pPr>
        <w:shd w:val="clear" w:color="auto" w:fill="FFFFFF"/>
        <w:spacing w:line="640" w:lineRule="exact"/>
        <w:ind w:firstLine="640"/>
        <w:rPr>
          <w:rFonts w:hint="eastAsia" w:ascii="仿宋_GB2312" w:hAnsi="仿宋" w:eastAsia="仿宋_GB2312"/>
          <w:spacing w:val="-2"/>
          <w:sz w:val="32"/>
          <w:szCs w:val="32"/>
        </w:rPr>
      </w:pPr>
      <w:r>
        <w:rPr>
          <w:rFonts w:hint="eastAsia" w:ascii="仿宋_GB2312" w:hAnsi="仿宋" w:eastAsia="仿宋_GB2312"/>
          <w:spacing w:val="-2"/>
          <w:sz w:val="32"/>
          <w:szCs w:val="32"/>
        </w:rPr>
        <w:t>7、负责全县干部教育培训工作，制订干部教育培训工作的方针、政策、规划；研究和探索适合全县情况的干部培训制度；负责对乡镇和县直单位干部培训工作进行协调、指导、检查；负责具体组织县委管理干部和一定层次的其他干部的培训。</w:t>
      </w:r>
    </w:p>
    <w:p>
      <w:pPr>
        <w:shd w:val="clear" w:color="auto" w:fill="FFFFFF"/>
        <w:spacing w:line="640" w:lineRule="exact"/>
        <w:ind w:firstLine="640"/>
        <w:rPr>
          <w:rFonts w:hint="eastAsia" w:ascii="仿宋_GB2312" w:hAnsi="仿宋" w:eastAsia="仿宋_GB2312"/>
          <w:spacing w:val="-2"/>
          <w:sz w:val="32"/>
          <w:szCs w:val="32"/>
        </w:rPr>
      </w:pPr>
      <w:r>
        <w:rPr>
          <w:rFonts w:hint="eastAsia" w:ascii="仿宋_GB2312" w:hAnsi="仿宋" w:eastAsia="仿宋_GB2312"/>
          <w:spacing w:val="-2"/>
          <w:sz w:val="32"/>
          <w:szCs w:val="32"/>
        </w:rPr>
        <w:t>8、负责全县人才工作的综合协调、检查指导，负责县管专业技术拔尖人才的选拔管理、专家咨询服务组织的管理以及科技副职的宏观管理等工作。</w:t>
      </w:r>
    </w:p>
    <w:p>
      <w:pPr>
        <w:shd w:val="clear" w:color="auto" w:fill="FFFFFF"/>
        <w:spacing w:line="640" w:lineRule="exact"/>
        <w:ind w:firstLine="640"/>
        <w:rPr>
          <w:rFonts w:hint="eastAsia" w:ascii="仿宋_GB2312" w:hAnsi="仿宋" w:eastAsia="仿宋_GB2312"/>
          <w:spacing w:val="-2"/>
          <w:sz w:val="32"/>
          <w:szCs w:val="32"/>
        </w:rPr>
      </w:pPr>
      <w:r>
        <w:rPr>
          <w:rFonts w:hint="eastAsia" w:ascii="仿宋_GB2312" w:hAnsi="仿宋" w:eastAsia="仿宋_GB2312"/>
          <w:spacing w:val="-2"/>
          <w:sz w:val="32"/>
          <w:szCs w:val="32"/>
        </w:rPr>
        <w:t>9、负责全县因公出国(境)人员和科级领导干部因私出国(境)的审查工作；受理党员、干部的有关申诉和党员、干部、群众的来信来访工作；负责全县组织史资料征集和编纂工作。</w:t>
      </w:r>
    </w:p>
    <w:p>
      <w:pPr>
        <w:shd w:val="clear" w:color="auto" w:fill="FFFFFF"/>
        <w:spacing w:line="640" w:lineRule="exact"/>
        <w:ind w:firstLine="640"/>
        <w:rPr>
          <w:rFonts w:hint="eastAsia" w:ascii="仿宋_GB2312" w:hAnsi="仿宋" w:eastAsia="仿宋_GB2312"/>
          <w:spacing w:val="-2"/>
          <w:sz w:val="32"/>
          <w:szCs w:val="32"/>
        </w:rPr>
      </w:pPr>
      <w:r>
        <w:rPr>
          <w:rFonts w:hint="eastAsia" w:ascii="仿宋_GB2312" w:hAnsi="仿宋" w:eastAsia="仿宋_GB2312"/>
          <w:spacing w:val="-2"/>
          <w:sz w:val="32"/>
          <w:szCs w:val="32"/>
        </w:rPr>
        <w:t>10、负责全县党组织、党员和干部的统计工作；主管全县干部档案管理的宏观指导工作，负责县管干部及党群部门股级以下干部的档案管理工作；负责全县党费的收缴、管理和使用工作。</w:t>
      </w:r>
    </w:p>
    <w:p>
      <w:pPr>
        <w:shd w:val="clear" w:color="auto" w:fill="FFFFFF"/>
        <w:spacing w:line="640" w:lineRule="exact"/>
        <w:ind w:firstLine="640"/>
        <w:rPr>
          <w:rFonts w:hint="eastAsia" w:ascii="仿宋_GB2312" w:hAnsi="仿宋" w:eastAsia="仿宋_GB2312"/>
          <w:spacing w:val="-2"/>
          <w:sz w:val="32"/>
          <w:szCs w:val="32"/>
        </w:rPr>
      </w:pPr>
      <w:r>
        <w:rPr>
          <w:rFonts w:hint="eastAsia" w:ascii="仿宋_GB2312" w:hAnsi="仿宋" w:eastAsia="仿宋_GB2312"/>
          <w:spacing w:val="-2"/>
          <w:sz w:val="32"/>
          <w:szCs w:val="32"/>
        </w:rPr>
        <w:t>11、协同老干部工作部门做好离退休老干部的安置、管理和服务工作。</w:t>
      </w:r>
    </w:p>
    <w:p>
      <w:pPr>
        <w:shd w:val="clear" w:color="auto" w:fill="FFFFFF"/>
        <w:spacing w:line="640" w:lineRule="exact"/>
        <w:ind w:firstLine="640"/>
        <w:rPr>
          <w:rFonts w:hint="eastAsia" w:ascii="仿宋_GB2312" w:hAnsi="仿宋" w:eastAsia="仿宋_GB2312"/>
          <w:spacing w:val="-2"/>
          <w:sz w:val="32"/>
          <w:szCs w:val="32"/>
        </w:rPr>
      </w:pPr>
      <w:r>
        <w:rPr>
          <w:rFonts w:hint="eastAsia" w:ascii="仿宋_GB2312" w:hAnsi="仿宋" w:eastAsia="仿宋_GB2312"/>
          <w:spacing w:val="-2"/>
          <w:sz w:val="32"/>
          <w:szCs w:val="32"/>
        </w:rPr>
        <w:t>12、负责统筹协调全县绩效评估工作；承担市对县绩效评估的日常工作，负责目标任务分解、日常调度分析、专项督察督办；负责组织实施县对乡镇、县直单位和中央、省、市在溆有关单位的绩效评估考核公祖，制定评估考核实施方案；推进绩效评估信息化管理工作等。</w:t>
      </w:r>
    </w:p>
    <w:p>
      <w:pPr>
        <w:shd w:val="clear" w:color="auto" w:fill="FFFFFF"/>
        <w:spacing w:line="640" w:lineRule="exact"/>
        <w:ind w:firstLine="640"/>
        <w:rPr>
          <w:rFonts w:hint="eastAsia" w:ascii="仿宋_GB2312" w:hAnsi="仿宋" w:eastAsia="仿宋_GB2312"/>
          <w:spacing w:val="-2"/>
          <w:sz w:val="32"/>
          <w:szCs w:val="32"/>
        </w:rPr>
      </w:pPr>
      <w:r>
        <w:rPr>
          <w:rFonts w:hint="eastAsia" w:ascii="仿宋_GB2312" w:hAnsi="仿宋" w:eastAsia="仿宋_GB2312"/>
          <w:spacing w:val="-2"/>
          <w:sz w:val="32"/>
          <w:szCs w:val="32"/>
        </w:rPr>
        <w:t>13、完成县委交办的其他任务。</w:t>
      </w:r>
    </w:p>
    <w:p>
      <w:pPr>
        <w:keepNext w:val="0"/>
        <w:keepLines w:val="0"/>
        <w:pageBreakBefore w:val="0"/>
        <w:widowControl/>
        <w:kinsoku/>
        <w:wordWrap/>
        <w:overflowPunct/>
        <w:topLinePunct w:val="0"/>
        <w:bidi w:val="0"/>
        <w:snapToGrid/>
        <w:spacing w:line="600" w:lineRule="exact"/>
        <w:ind w:firstLine="643" w:firstLineChars="200"/>
        <w:textAlignment w:val="auto"/>
        <w:rPr>
          <w:rFonts w:hint="eastAsia" w:eastAsia="仿宋_GB2312"/>
          <w:b/>
          <w:color w:val="000000"/>
          <w:kern w:val="0"/>
          <w:sz w:val="32"/>
          <w:szCs w:val="32"/>
          <w:lang w:eastAsia="zh-CN"/>
        </w:rPr>
      </w:pPr>
      <w:r>
        <w:rPr>
          <w:rFonts w:hint="eastAsia" w:eastAsia="仿宋_GB2312"/>
          <w:b/>
          <w:color w:val="000000"/>
          <w:kern w:val="0"/>
          <w:sz w:val="32"/>
          <w:szCs w:val="32"/>
        </w:rPr>
        <w:t>本年度主要任务</w:t>
      </w:r>
      <w:r>
        <w:rPr>
          <w:rFonts w:hint="eastAsia" w:eastAsia="仿宋_GB2312"/>
          <w:b/>
          <w:color w:val="000000"/>
          <w:kern w:val="0"/>
          <w:sz w:val="32"/>
          <w:szCs w:val="32"/>
          <w:lang w:eastAsia="zh-CN"/>
        </w:rPr>
        <w:t>：</w:t>
      </w:r>
    </w:p>
    <w:p>
      <w:pPr>
        <w:keepNext w:val="0"/>
        <w:keepLines w:val="0"/>
        <w:pageBreakBefore w:val="0"/>
        <w:shd w:val="clear" w:color="auto" w:fill="FFFFFF"/>
        <w:kinsoku/>
        <w:wordWrap/>
        <w:overflowPunct/>
        <w:topLinePunct w:val="0"/>
        <w:bidi w:val="0"/>
        <w:snapToGrid/>
        <w:spacing w:line="600" w:lineRule="exact"/>
        <w:ind w:firstLine="640"/>
        <w:textAlignment w:val="auto"/>
        <w:rPr>
          <w:rFonts w:hint="eastAsia" w:ascii="仿宋_GB2312" w:hAnsi="仿宋" w:eastAsia="仿宋_GB2312"/>
          <w:spacing w:val="-6"/>
          <w:sz w:val="32"/>
          <w:szCs w:val="32"/>
          <w:lang w:val="en-US" w:eastAsia="zh-CN"/>
        </w:rPr>
      </w:pPr>
      <w:r>
        <w:rPr>
          <w:rFonts w:hint="eastAsia" w:ascii="仿宋_GB2312" w:hAnsi="仿宋" w:eastAsia="仿宋_GB2312"/>
          <w:spacing w:val="-6"/>
          <w:sz w:val="32"/>
          <w:szCs w:val="32"/>
          <w:lang w:val="en-US" w:eastAsia="zh-CN"/>
        </w:rPr>
        <w:t>1、突出抓好党的政治建设。</w:t>
      </w:r>
    </w:p>
    <w:p>
      <w:pPr>
        <w:keepNext w:val="0"/>
        <w:keepLines w:val="0"/>
        <w:pageBreakBefore w:val="0"/>
        <w:shd w:val="clear" w:color="auto" w:fill="FFFFFF"/>
        <w:kinsoku/>
        <w:wordWrap/>
        <w:overflowPunct/>
        <w:topLinePunct w:val="0"/>
        <w:bidi w:val="0"/>
        <w:snapToGrid/>
        <w:spacing w:line="600" w:lineRule="exact"/>
        <w:ind w:firstLine="640"/>
        <w:textAlignment w:val="auto"/>
        <w:rPr>
          <w:rFonts w:hint="eastAsia" w:ascii="仿宋_GB2312" w:hAnsi="仿宋" w:eastAsia="仿宋_GB2312"/>
          <w:spacing w:val="-6"/>
          <w:sz w:val="32"/>
          <w:szCs w:val="32"/>
          <w:lang w:val="en-US" w:eastAsia="zh-CN"/>
        </w:rPr>
      </w:pPr>
      <w:r>
        <w:rPr>
          <w:rFonts w:hint="eastAsia" w:ascii="仿宋_GB2312" w:hAnsi="仿宋" w:eastAsia="仿宋_GB2312"/>
          <w:spacing w:val="-6"/>
          <w:sz w:val="32"/>
          <w:szCs w:val="32"/>
          <w:lang w:val="en-US" w:eastAsia="zh-CN"/>
        </w:rPr>
        <w:t>2、不断增强基层组织政治功能和组织力。</w:t>
      </w:r>
    </w:p>
    <w:p>
      <w:pPr>
        <w:keepNext w:val="0"/>
        <w:keepLines w:val="0"/>
        <w:pageBreakBefore w:val="0"/>
        <w:shd w:val="clear" w:color="auto" w:fill="FFFFFF"/>
        <w:kinsoku/>
        <w:wordWrap/>
        <w:overflowPunct/>
        <w:topLinePunct w:val="0"/>
        <w:bidi w:val="0"/>
        <w:snapToGrid/>
        <w:spacing w:line="600" w:lineRule="exact"/>
        <w:ind w:firstLine="640"/>
        <w:textAlignment w:val="auto"/>
        <w:rPr>
          <w:rFonts w:hint="eastAsia" w:ascii="仿宋_GB2312" w:hAnsi="仿宋" w:eastAsia="仿宋_GB2312"/>
          <w:spacing w:val="-6"/>
          <w:sz w:val="32"/>
          <w:szCs w:val="32"/>
          <w:lang w:val="en-US" w:eastAsia="zh-CN"/>
        </w:rPr>
      </w:pPr>
      <w:r>
        <w:rPr>
          <w:rFonts w:hint="eastAsia" w:ascii="仿宋_GB2312" w:hAnsi="仿宋" w:eastAsia="仿宋_GB2312"/>
          <w:spacing w:val="-6"/>
          <w:sz w:val="32"/>
          <w:szCs w:val="32"/>
          <w:lang w:val="en-US" w:eastAsia="zh-CN"/>
        </w:rPr>
        <w:t>3、着力建设忠诚干净担当和有业绩的高素质干部队伍。</w:t>
      </w:r>
    </w:p>
    <w:p>
      <w:pPr>
        <w:keepNext w:val="0"/>
        <w:keepLines w:val="0"/>
        <w:pageBreakBefore w:val="0"/>
        <w:shd w:val="clear" w:color="auto" w:fill="FFFFFF"/>
        <w:kinsoku/>
        <w:wordWrap/>
        <w:overflowPunct/>
        <w:topLinePunct w:val="0"/>
        <w:bidi w:val="0"/>
        <w:snapToGrid/>
        <w:spacing w:line="600" w:lineRule="exact"/>
        <w:ind w:firstLine="640"/>
        <w:textAlignment w:val="auto"/>
        <w:rPr>
          <w:rFonts w:hint="eastAsia" w:ascii="仿宋_GB2312" w:hAnsi="仿宋" w:eastAsia="仿宋_GB2312"/>
          <w:spacing w:val="-6"/>
          <w:sz w:val="32"/>
          <w:szCs w:val="32"/>
          <w:lang w:val="en-US" w:eastAsia="zh-CN"/>
        </w:rPr>
      </w:pPr>
      <w:r>
        <w:rPr>
          <w:rFonts w:hint="eastAsia" w:ascii="仿宋_GB2312" w:hAnsi="仿宋" w:eastAsia="仿宋_GB2312"/>
          <w:spacing w:val="-6"/>
          <w:sz w:val="32"/>
          <w:szCs w:val="32"/>
          <w:lang w:val="en-US" w:eastAsia="zh-CN"/>
        </w:rPr>
        <w:t>4、加快解决攻坚克难缺人才的问题。</w:t>
      </w:r>
    </w:p>
    <w:p>
      <w:pPr>
        <w:keepNext w:val="0"/>
        <w:keepLines w:val="0"/>
        <w:pageBreakBefore w:val="0"/>
        <w:shd w:val="clear" w:color="auto" w:fill="FFFFFF"/>
        <w:kinsoku/>
        <w:wordWrap/>
        <w:overflowPunct/>
        <w:topLinePunct w:val="0"/>
        <w:bidi w:val="0"/>
        <w:snapToGrid/>
        <w:spacing w:line="600" w:lineRule="exact"/>
        <w:ind w:firstLine="640"/>
        <w:textAlignment w:val="auto"/>
        <w:rPr>
          <w:rFonts w:hint="eastAsia" w:ascii="仿宋_GB2312" w:hAnsi="仿宋" w:eastAsia="仿宋_GB2312"/>
          <w:spacing w:val="-6"/>
          <w:sz w:val="32"/>
          <w:szCs w:val="32"/>
          <w:lang w:val="en-US" w:eastAsia="zh-CN"/>
        </w:rPr>
      </w:pPr>
      <w:r>
        <w:rPr>
          <w:rFonts w:hint="eastAsia" w:ascii="仿宋_GB2312" w:hAnsi="仿宋" w:eastAsia="仿宋_GB2312"/>
          <w:spacing w:val="-6"/>
          <w:sz w:val="32"/>
          <w:szCs w:val="32"/>
          <w:lang w:val="en-US" w:eastAsia="zh-CN"/>
        </w:rPr>
        <w:t>5、持之以恒打造“讲政治、重公道、业务精、作风好”的模范部门和过硬队伍。</w:t>
      </w:r>
    </w:p>
    <w:p>
      <w:pPr>
        <w:shd w:val="clear" w:color="auto" w:fill="FFFFFF"/>
        <w:spacing w:line="640" w:lineRule="exact"/>
        <w:ind w:firstLine="640"/>
        <w:rPr>
          <w:rFonts w:hint="eastAsia" w:ascii="仿宋_GB2312" w:hAnsi="仿宋" w:eastAsia="仿宋_GB2312"/>
          <w:spacing w:val="-2"/>
          <w:sz w:val="32"/>
          <w:szCs w:val="32"/>
          <w:lang w:eastAsia="zh-CN"/>
        </w:rPr>
      </w:pPr>
      <w:r>
        <w:rPr>
          <w:rFonts w:hint="eastAsia" w:ascii="仿宋_GB2312" w:hAnsi="仿宋" w:eastAsia="仿宋_GB2312"/>
          <w:spacing w:val="-2"/>
          <w:sz w:val="32"/>
          <w:szCs w:val="32"/>
          <w:lang w:val="en-US" w:eastAsia="zh-CN"/>
        </w:rPr>
        <w:t>6、</w:t>
      </w:r>
      <w:r>
        <w:rPr>
          <w:rFonts w:hint="eastAsia" w:ascii="仿宋_GB2312" w:hAnsi="仿宋" w:eastAsia="仿宋_GB2312"/>
          <w:spacing w:val="-2"/>
          <w:sz w:val="32"/>
          <w:szCs w:val="32"/>
        </w:rPr>
        <w:t>统筹协调全县绩效评估工作</w:t>
      </w:r>
      <w:r>
        <w:rPr>
          <w:rFonts w:hint="eastAsia" w:ascii="仿宋_GB2312" w:hAnsi="仿宋" w:eastAsia="仿宋_GB2312"/>
          <w:spacing w:val="-2"/>
          <w:sz w:val="32"/>
          <w:szCs w:val="32"/>
          <w:lang w:eastAsia="zh-CN"/>
        </w:rPr>
        <w:t>。</w:t>
      </w:r>
    </w:p>
    <w:p>
      <w:pPr>
        <w:keepNext w:val="0"/>
        <w:keepLines w:val="0"/>
        <w:pageBreakBefore w:val="0"/>
        <w:shd w:val="clear" w:color="auto" w:fill="FFFFFF"/>
        <w:kinsoku/>
        <w:wordWrap/>
        <w:overflowPunct/>
        <w:topLinePunct w:val="0"/>
        <w:bidi w:val="0"/>
        <w:snapToGrid/>
        <w:spacing w:line="600" w:lineRule="exact"/>
        <w:ind w:firstLine="643"/>
        <w:textAlignment w:val="auto"/>
        <w:rPr>
          <w:rFonts w:hint="eastAsia" w:ascii="楷体_GB2312" w:hAnsi="楷体_GB2312" w:eastAsia="楷体_GB2312" w:cs="楷体_GB2312"/>
          <w:b/>
          <w:spacing w:val="-17"/>
          <w:sz w:val="32"/>
          <w:szCs w:val="32"/>
          <w:lang w:val="en-US" w:eastAsia="zh-CN"/>
        </w:rPr>
      </w:pPr>
      <w:r>
        <w:rPr>
          <w:rFonts w:hint="eastAsia" w:ascii="楷体_GB2312" w:hAnsi="楷体_GB2312" w:eastAsia="楷体_GB2312" w:cs="楷体_GB2312"/>
          <w:b/>
          <w:spacing w:val="-17"/>
          <w:sz w:val="32"/>
          <w:szCs w:val="32"/>
          <w:lang w:val="en-US" w:eastAsia="zh-CN"/>
        </w:rPr>
        <w:t>（二）部门整体支出规模、使用方向和主要内容、涉及范围等。</w:t>
      </w:r>
    </w:p>
    <w:p>
      <w:pPr>
        <w:keepNext w:val="0"/>
        <w:keepLines w:val="0"/>
        <w:pageBreakBefore w:val="0"/>
        <w:shd w:val="clear" w:color="auto" w:fill="FFFFFF"/>
        <w:kinsoku/>
        <w:wordWrap/>
        <w:overflowPunct/>
        <w:topLinePunct w:val="0"/>
        <w:bidi w:val="0"/>
        <w:snapToGrid/>
        <w:spacing w:line="600" w:lineRule="exact"/>
        <w:ind w:firstLine="640"/>
        <w:textAlignment w:val="auto"/>
        <w:rPr>
          <w:rFonts w:hint="eastAsia" w:ascii="楷体_GB2312" w:hAnsi="楷体_GB2312" w:eastAsia="楷体_GB2312" w:cs="楷体_GB2312"/>
          <w:b/>
          <w:spacing w:val="-17"/>
          <w:sz w:val="32"/>
          <w:szCs w:val="32"/>
          <w:lang w:val="en-US" w:eastAsia="zh-CN"/>
        </w:rPr>
      </w:pPr>
      <w:r>
        <w:rPr>
          <w:rFonts w:hint="eastAsia" w:ascii="仿宋_GB2312" w:hAnsi="仿宋" w:eastAsia="仿宋_GB2312"/>
          <w:spacing w:val="-6"/>
          <w:sz w:val="32"/>
          <w:szCs w:val="32"/>
          <w:lang w:val="en-US" w:eastAsia="zh-CN"/>
        </w:rPr>
        <w:t>2022年度我部共支出</w:t>
      </w:r>
      <w:r>
        <w:rPr>
          <w:rFonts w:hint="eastAsia" w:ascii="仿宋_GB2312" w:hAnsi="仿宋" w:eastAsia="仿宋_GB2312"/>
          <w:color w:val="auto"/>
          <w:spacing w:val="-6"/>
          <w:sz w:val="32"/>
          <w:szCs w:val="32"/>
          <w:lang w:val="en-US" w:eastAsia="zh-CN"/>
        </w:rPr>
        <w:t>742.99</w:t>
      </w:r>
      <w:r>
        <w:rPr>
          <w:rFonts w:hint="eastAsia" w:ascii="仿宋_GB2312" w:hAnsi="仿宋" w:eastAsia="仿宋_GB2312"/>
          <w:spacing w:val="-6"/>
          <w:sz w:val="32"/>
          <w:szCs w:val="32"/>
          <w:lang w:val="en-US" w:eastAsia="zh-CN"/>
        </w:rPr>
        <w:t>万元（其中：基本支出</w:t>
      </w:r>
      <w:r>
        <w:rPr>
          <w:rFonts w:hint="eastAsia" w:ascii="仿宋_GB2312" w:hAnsi="仿宋" w:eastAsia="仿宋_GB2312"/>
          <w:color w:val="auto"/>
          <w:spacing w:val="-6"/>
          <w:sz w:val="32"/>
          <w:szCs w:val="32"/>
          <w:lang w:val="en-US" w:eastAsia="zh-CN"/>
        </w:rPr>
        <w:t>628.54</w:t>
      </w:r>
      <w:r>
        <w:rPr>
          <w:rFonts w:hint="eastAsia" w:ascii="仿宋_GB2312" w:hAnsi="仿宋" w:eastAsia="仿宋_GB2312"/>
          <w:spacing w:val="-6"/>
          <w:sz w:val="32"/>
          <w:szCs w:val="32"/>
          <w:lang w:val="en-US" w:eastAsia="zh-CN"/>
        </w:rPr>
        <w:t>万元，占总支出的</w:t>
      </w:r>
      <w:r>
        <w:rPr>
          <w:rFonts w:hint="eastAsia" w:ascii="仿宋_GB2312" w:hAnsi="仿宋" w:eastAsia="仿宋_GB2312"/>
          <w:color w:val="auto"/>
          <w:spacing w:val="-6"/>
          <w:sz w:val="32"/>
          <w:szCs w:val="32"/>
          <w:lang w:val="en-US" w:eastAsia="zh-CN"/>
        </w:rPr>
        <w:t>84.6</w:t>
      </w:r>
      <w:r>
        <w:rPr>
          <w:rFonts w:hint="eastAsia" w:ascii="仿宋_GB2312" w:hAnsi="仿宋" w:eastAsia="仿宋_GB2312"/>
          <w:spacing w:val="-6"/>
          <w:sz w:val="32"/>
          <w:szCs w:val="32"/>
          <w:lang w:val="en-US" w:eastAsia="zh-CN"/>
        </w:rPr>
        <w:t>%，项目支出</w:t>
      </w:r>
      <w:r>
        <w:rPr>
          <w:rFonts w:hint="eastAsia" w:ascii="仿宋_GB2312" w:hAnsi="仿宋" w:eastAsia="仿宋_GB2312"/>
          <w:color w:val="auto"/>
          <w:spacing w:val="-6"/>
          <w:sz w:val="32"/>
          <w:szCs w:val="32"/>
          <w:lang w:val="en-US" w:eastAsia="zh-CN"/>
        </w:rPr>
        <w:t>114.45</w:t>
      </w:r>
      <w:r>
        <w:rPr>
          <w:rFonts w:hint="eastAsia" w:ascii="仿宋_GB2312" w:hAnsi="仿宋" w:eastAsia="仿宋_GB2312"/>
          <w:spacing w:val="-6"/>
          <w:sz w:val="32"/>
          <w:szCs w:val="32"/>
          <w:lang w:val="en-US" w:eastAsia="zh-CN"/>
        </w:rPr>
        <w:t>万元，占总支出的</w:t>
      </w:r>
      <w:r>
        <w:rPr>
          <w:rFonts w:hint="eastAsia" w:ascii="仿宋_GB2312" w:hAnsi="仿宋" w:eastAsia="仿宋_GB2312" w:cs="Times New Roman"/>
          <w:color w:val="auto"/>
          <w:spacing w:val="-6"/>
          <w:sz w:val="32"/>
          <w:szCs w:val="32"/>
          <w:lang w:val="en-US" w:eastAsia="zh-CN"/>
        </w:rPr>
        <w:t>15.4%</w:t>
      </w:r>
      <w:r>
        <w:rPr>
          <w:rFonts w:hint="eastAsia" w:ascii="仿宋_GB2312" w:hAnsi="仿宋" w:eastAsia="仿宋_GB2312"/>
          <w:spacing w:val="-6"/>
          <w:sz w:val="32"/>
          <w:szCs w:val="32"/>
          <w:lang w:val="en-US" w:eastAsia="zh-CN"/>
        </w:rPr>
        <w:t>）。一般公共服务支出557.12万元，占</w:t>
      </w:r>
      <w:r>
        <w:rPr>
          <w:rFonts w:hint="eastAsia" w:ascii="仿宋_GB2312" w:hAnsi="仿宋" w:eastAsia="仿宋_GB2312" w:cs="Times New Roman"/>
          <w:spacing w:val="-6"/>
          <w:sz w:val="32"/>
          <w:szCs w:val="32"/>
          <w:lang w:val="en-US" w:eastAsia="zh-CN"/>
        </w:rPr>
        <w:t>本年支出74.98%；教育支出27.6万元，占本年支出3.71%；社会保障和就业支出33.26万元，占本年支出4.48%；卫生健康支出17.35万元，占本年支出2.34%；农林水支出91.29万元，占本年支出12.29%；住房保障支出16.37万元，占本年支出2.2%。</w:t>
      </w:r>
    </w:p>
    <w:p>
      <w:pPr>
        <w:shd w:val="clear" w:color="auto" w:fill="FFFFFF"/>
        <w:spacing w:line="640" w:lineRule="exact"/>
        <w:ind w:firstLine="640"/>
        <w:rPr>
          <w:rFonts w:hint="eastAsia" w:ascii="黑体" w:hAnsi="黑体" w:eastAsia="黑体"/>
          <w:spacing w:val="-2"/>
          <w:sz w:val="32"/>
          <w:szCs w:val="32"/>
        </w:rPr>
      </w:pPr>
      <w:r>
        <w:rPr>
          <w:rFonts w:hint="eastAsia" w:ascii="黑体" w:hAnsi="黑体" w:eastAsia="黑体"/>
          <w:spacing w:val="-2"/>
          <w:sz w:val="32"/>
          <w:szCs w:val="32"/>
        </w:rPr>
        <w:t>二、部门整体支出管理及使用情况</w:t>
      </w:r>
    </w:p>
    <w:p>
      <w:pPr>
        <w:shd w:val="clear" w:color="auto" w:fill="FFFFFF"/>
        <w:spacing w:line="640" w:lineRule="exact"/>
        <w:ind w:firstLine="643"/>
        <w:rPr>
          <w:rFonts w:hint="eastAsia" w:ascii="楷体_GB2312" w:hAnsi="楷体_GB2312" w:eastAsia="楷体_GB2312" w:cs="楷体_GB2312"/>
          <w:b/>
          <w:spacing w:val="-2"/>
          <w:sz w:val="32"/>
          <w:szCs w:val="21"/>
        </w:rPr>
      </w:pPr>
      <w:r>
        <w:rPr>
          <w:rFonts w:hint="eastAsia" w:ascii="楷体_GB2312" w:hAnsi="楷体_GB2312" w:eastAsia="楷体_GB2312" w:cs="楷体_GB2312"/>
          <w:b/>
          <w:spacing w:val="-2"/>
          <w:sz w:val="32"/>
          <w:szCs w:val="32"/>
        </w:rPr>
        <w:t>（一）基本支出</w:t>
      </w:r>
    </w:p>
    <w:p>
      <w:pPr>
        <w:keepNext w:val="0"/>
        <w:keepLines w:val="0"/>
        <w:pageBreakBefore w:val="0"/>
        <w:numPr>
          <w:ilvl w:val="0"/>
          <w:numId w:val="1"/>
        </w:numPr>
        <w:shd w:val="clear" w:color="auto" w:fill="FFFFFF"/>
        <w:kinsoku/>
        <w:wordWrap/>
        <w:overflowPunct/>
        <w:topLinePunct w:val="0"/>
        <w:bidi w:val="0"/>
        <w:snapToGrid/>
        <w:spacing w:line="600" w:lineRule="exact"/>
        <w:ind w:firstLine="635" w:firstLineChars="200"/>
        <w:textAlignment w:val="auto"/>
        <w:rPr>
          <w:rFonts w:hint="eastAsia" w:ascii="仿宋_GB2312" w:hAnsi="仿宋" w:eastAsia="仿宋_GB2312"/>
          <w:b/>
          <w:bCs/>
          <w:color w:val="000000"/>
          <w:spacing w:val="-2"/>
          <w:sz w:val="32"/>
          <w:szCs w:val="32"/>
        </w:rPr>
      </w:pPr>
      <w:r>
        <w:rPr>
          <w:rFonts w:hint="eastAsia" w:ascii="仿宋_GB2312" w:hAnsi="仿宋" w:eastAsia="仿宋_GB2312"/>
          <w:b/>
          <w:bCs/>
          <w:color w:val="000000"/>
          <w:spacing w:val="-2"/>
          <w:sz w:val="32"/>
          <w:szCs w:val="32"/>
        </w:rPr>
        <w:t>基本支出主要用途及范围</w:t>
      </w:r>
    </w:p>
    <w:p>
      <w:pPr>
        <w:keepNext w:val="0"/>
        <w:keepLines w:val="0"/>
        <w:pageBreakBefore w:val="0"/>
        <w:numPr>
          <w:ilvl w:val="0"/>
          <w:numId w:val="0"/>
        </w:numPr>
        <w:shd w:val="clear" w:color="auto" w:fill="FFFFFF"/>
        <w:kinsoku/>
        <w:wordWrap/>
        <w:overflowPunct/>
        <w:topLinePunct w:val="0"/>
        <w:bidi w:val="0"/>
        <w:snapToGrid/>
        <w:spacing w:line="600" w:lineRule="exact"/>
        <w:ind w:firstLine="616" w:firstLineChars="200"/>
        <w:textAlignment w:val="auto"/>
        <w:rPr>
          <w:rFonts w:hint="eastAsia" w:ascii="仿宋_GB2312" w:hAnsi="仿宋" w:eastAsia="仿宋_GB2312"/>
          <w:spacing w:val="-6"/>
          <w:sz w:val="32"/>
          <w:szCs w:val="32"/>
          <w:lang w:val="en-US" w:eastAsia="zh-CN"/>
        </w:rPr>
      </w:pPr>
      <w:r>
        <w:rPr>
          <w:rFonts w:hint="eastAsia" w:ascii="仿宋_GB2312" w:hAnsi="仿宋" w:eastAsia="仿宋_GB2312"/>
          <w:spacing w:val="-6"/>
          <w:sz w:val="32"/>
          <w:szCs w:val="32"/>
          <w:lang w:val="en-US" w:eastAsia="zh-CN"/>
        </w:rPr>
        <w:t>2022年度本单位基本支出628.54万元，其中（1）工资福利支出</w:t>
      </w:r>
      <w:r>
        <w:rPr>
          <w:rFonts w:hint="eastAsia" w:ascii="仿宋_GB2312" w:hAnsi="仿宋" w:eastAsia="仿宋_GB2312" w:cs="Times New Roman"/>
          <w:spacing w:val="-6"/>
          <w:sz w:val="32"/>
          <w:szCs w:val="32"/>
          <w:lang w:val="en-US" w:eastAsia="zh-CN"/>
        </w:rPr>
        <w:t>439.44</w:t>
      </w:r>
      <w:r>
        <w:rPr>
          <w:rFonts w:hint="eastAsia" w:ascii="仿宋_GB2312" w:hAnsi="仿宋" w:eastAsia="仿宋_GB2312"/>
          <w:spacing w:val="-6"/>
          <w:sz w:val="32"/>
          <w:szCs w:val="32"/>
          <w:lang w:val="en-US" w:eastAsia="zh-CN"/>
        </w:rPr>
        <w:t>万元，</w:t>
      </w:r>
      <w:r>
        <w:rPr>
          <w:rFonts w:hint="eastAsia" w:ascii="仿宋_GB2312" w:hAnsi="仿宋" w:eastAsia="仿宋_GB2312" w:cs="Times New Roman"/>
          <w:spacing w:val="-6"/>
          <w:sz w:val="32"/>
          <w:szCs w:val="32"/>
          <w:lang w:val="en-US" w:eastAsia="zh-CN"/>
        </w:rPr>
        <w:t>占69.91%，主要包括：基本工资、津贴补贴、奖金、伙食补助费、基本养老保</w:t>
      </w:r>
      <w:r>
        <w:rPr>
          <w:rFonts w:hint="eastAsia" w:ascii="仿宋_GB2312" w:hAnsi="仿宋" w:eastAsia="仿宋_GB2312"/>
          <w:spacing w:val="-6"/>
          <w:sz w:val="32"/>
          <w:szCs w:val="32"/>
          <w:lang w:val="en-US" w:eastAsia="zh-CN"/>
        </w:rPr>
        <w:t>险、职工医疗保险、其他社会保障缴费、住房公积金、其他工资福利支出；（2）商品和服务支出</w:t>
      </w:r>
      <w:r>
        <w:rPr>
          <w:rFonts w:hint="eastAsia" w:ascii="仿宋_GB2312" w:hAnsi="仿宋" w:eastAsia="仿宋_GB2312" w:cs="Times New Roman"/>
          <w:spacing w:val="-6"/>
          <w:sz w:val="32"/>
          <w:szCs w:val="32"/>
          <w:lang w:val="en-US" w:eastAsia="zh-CN"/>
        </w:rPr>
        <w:t>187.37</w:t>
      </w:r>
      <w:r>
        <w:rPr>
          <w:rFonts w:hint="eastAsia" w:ascii="仿宋_GB2312" w:hAnsi="仿宋" w:eastAsia="仿宋_GB2312"/>
          <w:spacing w:val="-6"/>
          <w:sz w:val="32"/>
          <w:szCs w:val="32"/>
          <w:lang w:val="en-US" w:eastAsia="zh-CN"/>
        </w:rPr>
        <w:t>万元，</w:t>
      </w:r>
      <w:r>
        <w:rPr>
          <w:rFonts w:hint="eastAsia" w:ascii="仿宋_GB2312" w:hAnsi="仿宋" w:eastAsia="仿宋_GB2312" w:cs="Times New Roman"/>
          <w:spacing w:val="-6"/>
          <w:sz w:val="32"/>
          <w:szCs w:val="32"/>
          <w:lang w:val="en-US" w:eastAsia="zh-CN"/>
        </w:rPr>
        <w:t>占29.81%，主要</w:t>
      </w:r>
      <w:r>
        <w:rPr>
          <w:rFonts w:hint="eastAsia" w:ascii="仿宋_GB2312" w:hAnsi="仿宋" w:eastAsia="仿宋_GB2312"/>
          <w:spacing w:val="-6"/>
          <w:sz w:val="32"/>
          <w:szCs w:val="32"/>
          <w:lang w:val="en-US" w:eastAsia="zh-CN"/>
        </w:rPr>
        <w:t>包括：办公费、印刷费、水费、邮电费、差旅费、维修（护）费、租赁费、会议费、培训费、公务接待费、劳务费、工会经费、福利费、其他交通费用、其他商品和服务支出;（3）资本性支出</w:t>
      </w:r>
      <w:r>
        <w:rPr>
          <w:rFonts w:hint="eastAsia" w:ascii="仿宋_GB2312" w:hAnsi="仿宋" w:eastAsia="仿宋_GB2312" w:cs="Times New Roman"/>
          <w:spacing w:val="-6"/>
          <w:sz w:val="32"/>
          <w:szCs w:val="32"/>
          <w:lang w:val="en-US" w:eastAsia="zh-CN"/>
        </w:rPr>
        <w:t>1.73</w:t>
      </w:r>
      <w:r>
        <w:rPr>
          <w:rFonts w:hint="eastAsia" w:ascii="仿宋_GB2312" w:hAnsi="仿宋" w:eastAsia="仿宋_GB2312"/>
          <w:spacing w:val="-6"/>
          <w:sz w:val="32"/>
          <w:szCs w:val="32"/>
          <w:lang w:val="en-US" w:eastAsia="zh-CN"/>
        </w:rPr>
        <w:t>万元，</w:t>
      </w:r>
      <w:r>
        <w:rPr>
          <w:rFonts w:hint="eastAsia" w:ascii="仿宋_GB2312" w:hAnsi="仿宋" w:eastAsia="仿宋_GB2312" w:cs="Times New Roman"/>
          <w:spacing w:val="-6"/>
          <w:sz w:val="32"/>
          <w:szCs w:val="32"/>
          <w:lang w:val="en-US" w:eastAsia="zh-CN"/>
        </w:rPr>
        <w:t>占0.28%，主要包括</w:t>
      </w:r>
      <w:r>
        <w:rPr>
          <w:rFonts w:hint="eastAsia" w:ascii="仿宋_GB2312" w:hAnsi="仿宋" w:eastAsia="仿宋_GB2312"/>
          <w:spacing w:val="-6"/>
          <w:sz w:val="32"/>
          <w:szCs w:val="32"/>
          <w:lang w:val="en-US" w:eastAsia="zh-CN"/>
        </w:rPr>
        <w:t>：办公设备购置。</w:t>
      </w:r>
    </w:p>
    <w:p>
      <w:pPr>
        <w:keepNext w:val="0"/>
        <w:keepLines w:val="0"/>
        <w:pageBreakBefore w:val="0"/>
        <w:numPr>
          <w:ilvl w:val="0"/>
          <w:numId w:val="0"/>
        </w:numPr>
        <w:shd w:val="clear" w:color="auto" w:fill="FFFFFF"/>
        <w:kinsoku/>
        <w:wordWrap/>
        <w:overflowPunct/>
        <w:topLinePunct w:val="0"/>
        <w:bidi w:val="0"/>
        <w:snapToGrid/>
        <w:spacing w:line="600" w:lineRule="exact"/>
        <w:ind w:firstLine="635" w:firstLineChars="200"/>
        <w:textAlignment w:val="auto"/>
        <w:rPr>
          <w:rFonts w:hint="eastAsia" w:ascii="仿宋_GB2312" w:hAnsi="仿宋" w:eastAsia="仿宋_GB2312"/>
          <w:b/>
          <w:bCs/>
          <w:color w:val="000000"/>
          <w:spacing w:val="-2"/>
          <w:sz w:val="32"/>
          <w:szCs w:val="32"/>
        </w:rPr>
      </w:pPr>
      <w:r>
        <w:rPr>
          <w:rFonts w:hint="eastAsia" w:ascii="仿宋_GB2312" w:hAnsi="仿宋" w:eastAsia="仿宋_GB2312"/>
          <w:b/>
          <w:bCs/>
          <w:color w:val="000000"/>
          <w:spacing w:val="-2"/>
          <w:sz w:val="32"/>
          <w:szCs w:val="32"/>
        </w:rPr>
        <w:t>2、资金管理情况</w:t>
      </w:r>
    </w:p>
    <w:p>
      <w:pPr>
        <w:keepNext w:val="0"/>
        <w:keepLines w:val="0"/>
        <w:pageBreakBefore w:val="0"/>
        <w:shd w:val="clear" w:color="auto" w:fill="FFFFFF"/>
        <w:kinsoku/>
        <w:wordWrap/>
        <w:overflowPunct/>
        <w:topLinePunct w:val="0"/>
        <w:bidi w:val="0"/>
        <w:snapToGrid/>
        <w:spacing w:line="600" w:lineRule="exact"/>
        <w:ind w:firstLine="640"/>
        <w:textAlignment w:val="auto"/>
        <w:rPr>
          <w:rFonts w:hint="eastAsia" w:ascii="仿宋_GB2312" w:hAnsi="仿宋" w:eastAsia="仿宋_GB2312"/>
          <w:spacing w:val="-6"/>
          <w:sz w:val="32"/>
          <w:szCs w:val="32"/>
          <w:lang w:val="en-US" w:eastAsia="zh-CN"/>
        </w:rPr>
      </w:pPr>
      <w:r>
        <w:rPr>
          <w:rFonts w:hint="eastAsia" w:ascii="仿宋_GB2312" w:hAnsi="仿宋" w:eastAsia="仿宋_GB2312"/>
          <w:spacing w:val="-6"/>
          <w:sz w:val="32"/>
          <w:szCs w:val="32"/>
          <w:lang w:val="en-US" w:eastAsia="zh-CN"/>
        </w:rPr>
        <w:t>我部高度重视资金使用管理，发挥好运转保障资金巩固基层、服务群众的重要作用。一是明确资金使用用途。按照培训经费使用要求，实行定标定额精准预算，确保经费保障到位，使用规范。二是落实资金管理。明确专项经费群众监督，县级财政部门定期审查的管理措施，有效提高了经费使用的规范性和透明度。三是严肃财经纪律。开展财务审查审计，从严治理违规使用项目资金问题；严厉查处滞留、截留、挤占、挪用专项经费行为。</w:t>
      </w:r>
    </w:p>
    <w:p>
      <w:pPr>
        <w:numPr>
          <w:ilvl w:val="0"/>
          <w:numId w:val="0"/>
        </w:numPr>
        <w:shd w:val="clear" w:color="auto" w:fill="FFFFFF"/>
        <w:spacing w:line="640" w:lineRule="exact"/>
        <w:ind w:leftChars="200"/>
        <w:rPr>
          <w:rFonts w:hint="eastAsia" w:ascii="仿宋_GB2312" w:hAnsi="仿宋" w:eastAsia="仿宋_GB2312"/>
          <w:b/>
          <w:bCs/>
          <w:color w:val="000000"/>
          <w:spacing w:val="-2"/>
          <w:sz w:val="32"/>
          <w:szCs w:val="32"/>
        </w:rPr>
      </w:pPr>
      <w:r>
        <w:rPr>
          <w:rFonts w:hint="eastAsia" w:ascii="仿宋_GB2312" w:hAnsi="仿宋" w:eastAsia="仿宋_GB2312"/>
          <w:b/>
          <w:bCs/>
          <w:color w:val="000000"/>
          <w:spacing w:val="-2"/>
          <w:sz w:val="32"/>
          <w:szCs w:val="32"/>
          <w:lang w:val="en-US" w:eastAsia="zh-CN"/>
        </w:rPr>
        <w:t xml:space="preserve"> 3、</w:t>
      </w:r>
      <w:r>
        <w:rPr>
          <w:rFonts w:hint="eastAsia" w:ascii="仿宋_GB2312" w:hAnsi="仿宋" w:eastAsia="仿宋_GB2312"/>
          <w:b/>
          <w:bCs/>
          <w:color w:val="000000"/>
          <w:spacing w:val="-2"/>
          <w:sz w:val="32"/>
          <w:szCs w:val="32"/>
        </w:rPr>
        <w:t>“三公”经费的使用和管理情况</w:t>
      </w:r>
    </w:p>
    <w:p>
      <w:pPr>
        <w:keepNext w:val="0"/>
        <w:keepLines w:val="0"/>
        <w:pageBreakBefore w:val="0"/>
        <w:shd w:val="clear" w:color="auto" w:fill="FFFFFF"/>
        <w:kinsoku/>
        <w:wordWrap/>
        <w:overflowPunct/>
        <w:topLinePunct w:val="0"/>
        <w:bidi w:val="0"/>
        <w:snapToGrid/>
        <w:spacing w:line="600" w:lineRule="exact"/>
        <w:ind w:firstLine="640"/>
        <w:textAlignment w:val="auto"/>
        <w:rPr>
          <w:rFonts w:hint="eastAsia" w:ascii="仿宋_GB2312" w:hAnsi="仿宋" w:eastAsia="仿宋_GB2312" w:cs="Times New Roman"/>
          <w:spacing w:val="-6"/>
          <w:sz w:val="32"/>
          <w:szCs w:val="32"/>
          <w:lang w:val="en-US" w:eastAsia="zh-CN"/>
        </w:rPr>
      </w:pPr>
      <w:r>
        <w:rPr>
          <w:rFonts w:hint="eastAsia" w:ascii="仿宋_GB2312" w:hAnsi="仿宋" w:eastAsia="仿宋_GB2312" w:cs="Times New Roman"/>
          <w:spacing w:val="-6"/>
          <w:sz w:val="32"/>
          <w:szCs w:val="32"/>
          <w:lang w:val="en-US" w:eastAsia="zh-CN"/>
        </w:rPr>
        <w:t>2022年三公经费总额0万元，比上年减少1.95万元；其中公务接待费0万元，比上年减少1.95万元。主要原因是本年公务接待经费科目无经费，放在第二年进行报账。</w:t>
      </w:r>
    </w:p>
    <w:p>
      <w:pPr>
        <w:keepNext w:val="0"/>
        <w:keepLines w:val="0"/>
        <w:pageBreakBefore w:val="0"/>
        <w:shd w:val="clear" w:color="auto" w:fill="FFFFFF"/>
        <w:kinsoku/>
        <w:wordWrap/>
        <w:overflowPunct/>
        <w:topLinePunct w:val="0"/>
        <w:bidi w:val="0"/>
        <w:snapToGrid/>
        <w:spacing w:line="600" w:lineRule="exact"/>
        <w:ind w:firstLine="640"/>
        <w:textAlignment w:val="auto"/>
        <w:rPr>
          <w:rFonts w:hint="eastAsia" w:ascii="仿宋_GB2312" w:hAnsi="仿宋" w:eastAsia="仿宋_GB2312"/>
          <w:b/>
          <w:bCs/>
          <w:color w:val="000000"/>
          <w:spacing w:val="-2"/>
          <w:sz w:val="32"/>
          <w:szCs w:val="32"/>
        </w:rPr>
      </w:pPr>
      <w:r>
        <w:rPr>
          <w:rFonts w:hint="eastAsia" w:ascii="仿宋_GB2312" w:hAnsi="仿宋" w:eastAsia="仿宋_GB2312" w:cs="Times New Roman"/>
          <w:spacing w:val="-6"/>
          <w:sz w:val="32"/>
          <w:szCs w:val="32"/>
          <w:lang w:val="en-US" w:eastAsia="zh-CN"/>
        </w:rPr>
        <w:t>2022年，我部无因公出国（境）团情况、没有购置公务用车、国内公务接待严格按财政纪律规定执行标准。公务接待费支出0万元，接待批次0次，人数0人。</w:t>
      </w:r>
    </w:p>
    <w:p>
      <w:pPr>
        <w:shd w:val="clear" w:color="auto" w:fill="FFFFFF"/>
        <w:spacing w:line="640" w:lineRule="exact"/>
        <w:ind w:firstLine="643"/>
        <w:rPr>
          <w:rFonts w:hint="eastAsia" w:ascii="楷体_GB2312" w:hAnsi="楷体_GB2312" w:eastAsia="楷体_GB2312" w:cs="楷体_GB2312"/>
          <w:b/>
          <w:spacing w:val="-2"/>
          <w:sz w:val="32"/>
          <w:szCs w:val="32"/>
        </w:rPr>
      </w:pPr>
      <w:r>
        <w:rPr>
          <w:rFonts w:hint="eastAsia" w:ascii="楷体_GB2312" w:hAnsi="楷体_GB2312" w:eastAsia="楷体_GB2312" w:cs="楷体_GB2312"/>
          <w:b/>
          <w:spacing w:val="-2"/>
          <w:sz w:val="32"/>
          <w:szCs w:val="32"/>
        </w:rPr>
        <w:t>（二）专项支出</w:t>
      </w:r>
    </w:p>
    <w:p>
      <w:pPr>
        <w:keepNext w:val="0"/>
        <w:keepLines w:val="0"/>
        <w:pageBreakBefore w:val="0"/>
        <w:numPr>
          <w:ilvl w:val="0"/>
          <w:numId w:val="0"/>
        </w:numPr>
        <w:shd w:val="clear" w:color="auto" w:fill="FFFFFF"/>
        <w:kinsoku/>
        <w:wordWrap/>
        <w:overflowPunct/>
        <w:topLinePunct w:val="0"/>
        <w:bidi w:val="0"/>
        <w:snapToGrid/>
        <w:spacing w:line="600" w:lineRule="exact"/>
        <w:ind w:firstLine="483" w:firstLineChars="200"/>
        <w:textAlignment w:val="auto"/>
        <w:rPr>
          <w:rFonts w:hint="eastAsia" w:ascii="仿宋_GB2312" w:hAnsi="仿宋" w:eastAsia="仿宋_GB2312" w:cs="Times New Roman"/>
          <w:b/>
          <w:bCs/>
          <w:color w:val="000000"/>
          <w:spacing w:val="-40"/>
          <w:sz w:val="32"/>
          <w:szCs w:val="32"/>
          <w:lang w:val="en-US" w:eastAsia="zh-CN"/>
        </w:rPr>
      </w:pPr>
      <w:r>
        <w:rPr>
          <w:rFonts w:hint="eastAsia" w:ascii="仿宋_GB2312" w:hAnsi="仿宋" w:eastAsia="仿宋_GB2312" w:cs="Times New Roman"/>
          <w:b/>
          <w:bCs/>
          <w:color w:val="000000"/>
          <w:spacing w:val="-40"/>
          <w:sz w:val="32"/>
          <w:szCs w:val="32"/>
          <w:lang w:val="en-US" w:eastAsia="zh-CN"/>
        </w:rPr>
        <w:t>1、专项资金（包括财政资金、自筹资金等）安排落实、总投入等情况分析。</w:t>
      </w:r>
    </w:p>
    <w:p>
      <w:pPr>
        <w:keepNext w:val="0"/>
        <w:keepLines w:val="0"/>
        <w:pageBreakBefore w:val="0"/>
        <w:shd w:val="clear" w:color="auto" w:fill="FFFFFF"/>
        <w:kinsoku/>
        <w:wordWrap/>
        <w:overflowPunct/>
        <w:topLinePunct w:val="0"/>
        <w:bidi w:val="0"/>
        <w:snapToGrid/>
        <w:spacing w:line="600" w:lineRule="exact"/>
        <w:ind w:firstLine="640"/>
        <w:textAlignment w:val="auto"/>
        <w:rPr>
          <w:rFonts w:hint="eastAsia" w:ascii="仿宋_GB2312" w:hAnsi="仿宋" w:eastAsia="仿宋_GB2312"/>
          <w:b/>
          <w:bCs/>
          <w:color w:val="000000"/>
          <w:spacing w:val="-40"/>
          <w:sz w:val="32"/>
          <w:szCs w:val="32"/>
          <w:lang w:val="en-US" w:eastAsia="zh-CN"/>
        </w:rPr>
      </w:pPr>
      <w:r>
        <w:rPr>
          <w:rFonts w:hint="eastAsia" w:ascii="仿宋_GB2312" w:hAnsi="仿宋" w:eastAsia="仿宋_GB2312"/>
          <w:spacing w:val="-6"/>
          <w:sz w:val="32"/>
          <w:szCs w:val="32"/>
          <w:lang w:val="en-US" w:eastAsia="zh-CN"/>
        </w:rPr>
        <w:t>本单位2022年专项资金支出共计</w:t>
      </w:r>
      <w:r>
        <w:rPr>
          <w:rFonts w:hint="eastAsia" w:ascii="仿宋_GB2312" w:hAnsi="仿宋" w:eastAsia="仿宋_GB2312" w:cs="Times New Roman"/>
          <w:spacing w:val="-6"/>
          <w:sz w:val="32"/>
          <w:szCs w:val="32"/>
          <w:lang w:val="en-US" w:eastAsia="zh-CN"/>
        </w:rPr>
        <w:t>114.45</w:t>
      </w:r>
      <w:r>
        <w:rPr>
          <w:rFonts w:hint="eastAsia" w:ascii="仿宋_GB2312" w:hAnsi="仿宋" w:eastAsia="仿宋_GB2312"/>
          <w:spacing w:val="-6"/>
          <w:sz w:val="32"/>
          <w:szCs w:val="32"/>
          <w:lang w:val="en-US" w:eastAsia="zh-CN"/>
        </w:rPr>
        <w:t>万元，其中（1）工资福利支出</w:t>
      </w:r>
      <w:r>
        <w:rPr>
          <w:rFonts w:hint="eastAsia" w:ascii="仿宋_GB2312" w:hAnsi="仿宋" w:eastAsia="仿宋_GB2312" w:cs="Times New Roman"/>
          <w:spacing w:val="-6"/>
          <w:sz w:val="32"/>
          <w:szCs w:val="32"/>
          <w:lang w:val="en-US" w:eastAsia="zh-CN"/>
        </w:rPr>
        <w:t>45.75</w:t>
      </w:r>
      <w:r>
        <w:rPr>
          <w:rFonts w:hint="eastAsia" w:ascii="仿宋_GB2312" w:hAnsi="仿宋" w:eastAsia="仿宋_GB2312"/>
          <w:spacing w:val="-6"/>
          <w:sz w:val="32"/>
          <w:szCs w:val="32"/>
          <w:lang w:val="en-US" w:eastAsia="zh-CN"/>
        </w:rPr>
        <w:t>万元，占</w:t>
      </w:r>
      <w:r>
        <w:rPr>
          <w:rFonts w:hint="eastAsia" w:ascii="仿宋_GB2312" w:hAnsi="仿宋" w:eastAsia="仿宋_GB2312" w:cs="Times New Roman"/>
          <w:spacing w:val="-6"/>
          <w:sz w:val="32"/>
          <w:szCs w:val="32"/>
          <w:lang w:val="en-US" w:eastAsia="zh-CN"/>
        </w:rPr>
        <w:t>39.97%</w:t>
      </w:r>
      <w:r>
        <w:rPr>
          <w:rFonts w:hint="eastAsia" w:ascii="仿宋_GB2312" w:hAnsi="仿宋" w:eastAsia="仿宋_GB2312"/>
          <w:spacing w:val="-6"/>
          <w:sz w:val="32"/>
          <w:szCs w:val="32"/>
          <w:lang w:val="en-US" w:eastAsia="zh-CN"/>
        </w:rPr>
        <w:t>，主要包括：基本工资、</w:t>
      </w:r>
      <w:r>
        <w:rPr>
          <w:rFonts w:hint="eastAsia" w:ascii="仿宋_GB2312" w:hAnsi="仿宋" w:eastAsia="仿宋_GB2312"/>
          <w:color w:val="auto"/>
          <w:spacing w:val="-6"/>
          <w:sz w:val="32"/>
          <w:szCs w:val="32"/>
          <w:lang w:val="en-US" w:eastAsia="zh-CN"/>
        </w:rPr>
        <w:t>伙食补助费、基本养老保险、职工医疗保险、其他社会保障缴费</w:t>
      </w:r>
      <w:r>
        <w:rPr>
          <w:rFonts w:hint="eastAsia" w:ascii="仿宋_GB2312" w:hAnsi="仿宋" w:eastAsia="仿宋_GB2312"/>
          <w:spacing w:val="-6"/>
          <w:sz w:val="32"/>
          <w:szCs w:val="32"/>
          <w:lang w:val="en-US" w:eastAsia="zh-CN"/>
        </w:rPr>
        <w:t>；（2）商品和服务支</w:t>
      </w:r>
      <w:r>
        <w:rPr>
          <w:rFonts w:hint="eastAsia" w:ascii="仿宋_GB2312" w:hAnsi="仿宋" w:eastAsia="仿宋_GB2312" w:cs="Times New Roman"/>
          <w:spacing w:val="-6"/>
          <w:sz w:val="32"/>
          <w:szCs w:val="32"/>
          <w:lang w:val="en-US" w:eastAsia="zh-CN"/>
        </w:rPr>
        <w:t>出52.28</w:t>
      </w:r>
      <w:r>
        <w:rPr>
          <w:rFonts w:hint="eastAsia" w:ascii="仿宋_GB2312" w:hAnsi="仿宋" w:eastAsia="仿宋_GB2312"/>
          <w:spacing w:val="-6"/>
          <w:sz w:val="32"/>
          <w:szCs w:val="32"/>
          <w:lang w:val="en-US" w:eastAsia="zh-CN"/>
        </w:rPr>
        <w:t>万元，占</w:t>
      </w:r>
      <w:r>
        <w:rPr>
          <w:rFonts w:hint="eastAsia" w:ascii="仿宋_GB2312" w:hAnsi="仿宋" w:eastAsia="仿宋_GB2312" w:cs="Times New Roman"/>
          <w:spacing w:val="-6"/>
          <w:sz w:val="32"/>
          <w:szCs w:val="32"/>
          <w:lang w:val="en-US" w:eastAsia="zh-CN"/>
        </w:rPr>
        <w:t>45.68%</w:t>
      </w:r>
      <w:r>
        <w:rPr>
          <w:rFonts w:hint="eastAsia" w:ascii="仿宋_GB2312" w:hAnsi="仿宋" w:eastAsia="仿宋_GB2312"/>
          <w:spacing w:val="-6"/>
          <w:sz w:val="32"/>
          <w:szCs w:val="32"/>
          <w:lang w:val="en-US" w:eastAsia="zh-CN"/>
        </w:rPr>
        <w:t>，主要包括：</w:t>
      </w:r>
      <w:r>
        <w:rPr>
          <w:rFonts w:hint="eastAsia" w:ascii="仿宋_GB2312" w:hAnsi="仿宋" w:eastAsia="仿宋_GB2312"/>
          <w:color w:val="auto"/>
          <w:spacing w:val="-6"/>
          <w:sz w:val="32"/>
          <w:szCs w:val="32"/>
          <w:lang w:val="en-US" w:eastAsia="zh-CN"/>
        </w:rPr>
        <w:t>办公费、印刷费、水费、邮电费、差旅费、公务接待费、劳务费、其他交通费用、其他商品和服务支出</w:t>
      </w:r>
      <w:r>
        <w:rPr>
          <w:rFonts w:hint="eastAsia" w:ascii="仿宋_GB2312" w:hAnsi="仿宋" w:eastAsia="仿宋_GB2312"/>
          <w:spacing w:val="-6"/>
          <w:sz w:val="32"/>
          <w:szCs w:val="32"/>
          <w:lang w:val="en-US" w:eastAsia="zh-CN"/>
        </w:rPr>
        <w:t>；（3）对个人和家庭的补助16.42元，占14.35%，主要包括：生活补助、其他对个人和家庭的补助。</w:t>
      </w:r>
    </w:p>
    <w:p>
      <w:pPr>
        <w:keepNext w:val="0"/>
        <w:keepLines w:val="0"/>
        <w:pageBreakBefore w:val="0"/>
        <w:numPr>
          <w:ilvl w:val="0"/>
          <w:numId w:val="1"/>
        </w:numPr>
        <w:shd w:val="clear" w:color="auto" w:fill="FFFFFF"/>
        <w:kinsoku/>
        <w:wordWrap/>
        <w:overflowPunct/>
        <w:topLinePunct w:val="0"/>
        <w:bidi w:val="0"/>
        <w:snapToGrid/>
        <w:spacing w:line="600" w:lineRule="exact"/>
        <w:ind w:left="0" w:leftChars="0" w:firstLine="635" w:firstLineChars="200"/>
        <w:textAlignment w:val="auto"/>
        <w:rPr>
          <w:rFonts w:hint="eastAsia" w:ascii="仿宋_GB2312" w:hAnsi="仿宋" w:eastAsia="仿宋_GB2312"/>
          <w:b/>
          <w:bCs/>
          <w:color w:val="000000"/>
          <w:spacing w:val="-2"/>
          <w:sz w:val="32"/>
          <w:szCs w:val="32"/>
          <w:lang w:val="en-US" w:eastAsia="zh-CN"/>
        </w:rPr>
      </w:pPr>
      <w:r>
        <w:rPr>
          <w:rFonts w:hint="eastAsia" w:ascii="仿宋_GB2312" w:hAnsi="仿宋" w:eastAsia="仿宋_GB2312"/>
          <w:b/>
          <w:bCs/>
          <w:color w:val="000000"/>
          <w:spacing w:val="-2"/>
          <w:sz w:val="32"/>
          <w:szCs w:val="32"/>
          <w:lang w:val="en-US" w:eastAsia="zh-CN"/>
        </w:rPr>
        <w:t>专项资金（主要指财政资金）实际使用情况分析。</w:t>
      </w:r>
    </w:p>
    <w:p>
      <w:pPr>
        <w:keepNext w:val="0"/>
        <w:keepLines w:val="0"/>
        <w:pageBreakBefore w:val="0"/>
        <w:numPr>
          <w:ilvl w:val="0"/>
          <w:numId w:val="0"/>
        </w:numPr>
        <w:shd w:val="clear" w:color="auto" w:fill="FFFFFF"/>
        <w:kinsoku/>
        <w:wordWrap/>
        <w:overflowPunct/>
        <w:topLinePunct w:val="0"/>
        <w:bidi w:val="0"/>
        <w:snapToGrid/>
        <w:spacing w:line="600" w:lineRule="exact"/>
        <w:ind w:leftChars="200" w:firstLine="616" w:firstLineChars="200"/>
        <w:textAlignment w:val="auto"/>
        <w:rPr>
          <w:rFonts w:hint="default" w:ascii="仿宋_GB2312" w:hAnsi="仿宋" w:eastAsia="仿宋_GB2312"/>
          <w:b/>
          <w:bCs/>
          <w:color w:val="000000"/>
          <w:spacing w:val="-2"/>
          <w:sz w:val="32"/>
          <w:szCs w:val="32"/>
          <w:lang w:val="en-US" w:eastAsia="zh-CN"/>
        </w:rPr>
      </w:pPr>
      <w:r>
        <w:rPr>
          <w:rFonts w:hint="eastAsia" w:ascii="仿宋_GB2312" w:hAnsi="仿宋" w:eastAsia="仿宋_GB2312"/>
          <w:spacing w:val="-6"/>
          <w:sz w:val="32"/>
          <w:szCs w:val="32"/>
          <w:lang w:val="en-US" w:eastAsia="zh-CN"/>
        </w:rPr>
        <w:t>人才引进资金支出7.54万元（其中：商品和服务支出7.54万元）；驻村办资金支出32.2万元（其中：工资福利支出2.94万元，商品和服务支出25.84万元，对个人和家庭的支出3.42万元）；市委党校伙食费资金支出8万元（其中：工资福利支出8万元）；基层办资金支出34.85万元（其中：工资福利支出34.85万元）；选调生资金支出31.86万元（其中：商品和服务支出18.86万元，对个人和家庭的支出13万元）。</w:t>
      </w:r>
    </w:p>
    <w:p>
      <w:pPr>
        <w:keepNext w:val="0"/>
        <w:keepLines w:val="0"/>
        <w:pageBreakBefore w:val="0"/>
        <w:numPr>
          <w:ilvl w:val="0"/>
          <w:numId w:val="1"/>
        </w:numPr>
        <w:shd w:val="clear" w:color="auto" w:fill="FFFFFF"/>
        <w:kinsoku/>
        <w:wordWrap/>
        <w:overflowPunct/>
        <w:topLinePunct w:val="0"/>
        <w:bidi w:val="0"/>
        <w:snapToGrid/>
        <w:spacing w:line="600" w:lineRule="exact"/>
        <w:ind w:left="0" w:leftChars="0" w:firstLine="483" w:firstLineChars="200"/>
        <w:textAlignment w:val="auto"/>
        <w:rPr>
          <w:rFonts w:hint="eastAsia" w:ascii="仿宋_GB2312" w:hAnsi="仿宋" w:eastAsia="仿宋_GB2312"/>
          <w:b/>
          <w:bCs/>
          <w:color w:val="000000"/>
          <w:spacing w:val="-40"/>
          <w:sz w:val="32"/>
          <w:szCs w:val="32"/>
          <w:lang w:val="en-US" w:eastAsia="zh-CN"/>
        </w:rPr>
      </w:pPr>
      <w:r>
        <w:rPr>
          <w:rFonts w:hint="eastAsia" w:ascii="仿宋_GB2312" w:hAnsi="仿宋" w:eastAsia="仿宋_GB2312"/>
          <w:b/>
          <w:bCs/>
          <w:color w:val="000000"/>
          <w:spacing w:val="-40"/>
          <w:sz w:val="32"/>
          <w:szCs w:val="32"/>
          <w:lang w:val="en-US" w:eastAsia="zh-CN"/>
        </w:rPr>
        <w:t>专项资金管理情况分析，主要包括管理制度、办法的制订及执行情</w:t>
      </w:r>
    </w:p>
    <w:p>
      <w:pPr>
        <w:keepNext w:val="0"/>
        <w:keepLines w:val="0"/>
        <w:pageBreakBefore w:val="0"/>
        <w:numPr>
          <w:ilvl w:val="0"/>
          <w:numId w:val="0"/>
        </w:numPr>
        <w:shd w:val="clear" w:color="auto" w:fill="FFFFFF"/>
        <w:kinsoku/>
        <w:wordWrap/>
        <w:overflowPunct/>
        <w:topLinePunct w:val="0"/>
        <w:bidi w:val="0"/>
        <w:snapToGrid/>
        <w:spacing w:line="600" w:lineRule="exact"/>
        <w:ind w:leftChars="200" w:firstLine="616" w:firstLineChars="200"/>
        <w:textAlignment w:val="auto"/>
        <w:rPr>
          <w:rFonts w:hint="eastAsia" w:ascii="仿宋_GB2312" w:hAnsi="仿宋" w:eastAsia="仿宋_GB2312"/>
          <w:b/>
          <w:bCs/>
          <w:color w:val="000000"/>
          <w:spacing w:val="-40"/>
          <w:sz w:val="32"/>
          <w:szCs w:val="32"/>
          <w:lang w:val="en-US" w:eastAsia="zh-CN"/>
        </w:rPr>
      </w:pPr>
      <w:r>
        <w:rPr>
          <w:rFonts w:hint="eastAsia" w:ascii="仿宋_GB2312" w:hAnsi="仿宋" w:eastAsia="仿宋_GB2312"/>
          <w:spacing w:val="-6"/>
          <w:sz w:val="32"/>
          <w:szCs w:val="32"/>
          <w:lang w:val="en-US" w:eastAsia="zh-CN"/>
        </w:rPr>
        <w:t>各项资金本着专款专用的原则，严格执行项目资金批准的使用计划和项目批复内容，不擅自调项、扩项、缩项，不拆借、挪用、挤占。资金拨付动向按不同专项资金的要求执行。同时对每笔专项资金的支付，严格执行财务制度，落实专项资金审核程序，高度重视资金使用管理，发挥好运转保障资金巩固基层、服务群众的重要作用。一是明确资金使用用途。按照培训经费使用要求，实行定标定额精准预算，确保经费保障到位，使用规范。二是落实资金管理。明确专项经费群众监督，县级财政部门定期审查的管理措施，有效提高了经费使用的规范性和透明度。三是严肃财经纪律。开展财务审查审计，从严治理违规使用项目资金问题；严厉查处滞留、截留、挤占、挪用专项经费行为。</w:t>
      </w:r>
    </w:p>
    <w:p>
      <w:pPr>
        <w:shd w:val="clear" w:color="auto" w:fill="FFFFFF"/>
        <w:spacing w:line="640" w:lineRule="exact"/>
        <w:ind w:firstLine="640"/>
        <w:rPr>
          <w:rFonts w:hint="eastAsia" w:ascii="黑体" w:hAnsi="黑体" w:eastAsia="黑体"/>
          <w:spacing w:val="-2"/>
          <w:sz w:val="32"/>
          <w:szCs w:val="32"/>
        </w:rPr>
      </w:pPr>
      <w:r>
        <w:rPr>
          <w:rFonts w:hint="eastAsia" w:ascii="黑体" w:hAnsi="黑体" w:eastAsia="黑体"/>
          <w:spacing w:val="-2"/>
          <w:sz w:val="32"/>
          <w:szCs w:val="32"/>
        </w:rPr>
        <w:t>三、部门专项组织实施情况</w:t>
      </w:r>
    </w:p>
    <w:p>
      <w:pPr>
        <w:keepNext w:val="0"/>
        <w:keepLines w:val="0"/>
        <w:pageBreakBefore w:val="0"/>
        <w:shd w:val="clear" w:color="auto" w:fill="FFFFFF"/>
        <w:kinsoku/>
        <w:wordWrap/>
        <w:overflowPunct/>
        <w:topLinePunct w:val="0"/>
        <w:bidi w:val="0"/>
        <w:snapToGrid/>
        <w:spacing w:line="600" w:lineRule="exact"/>
        <w:ind w:firstLine="640"/>
        <w:textAlignment w:val="auto"/>
        <w:rPr>
          <w:rFonts w:hint="eastAsia" w:ascii="仿宋_GB2312" w:hAnsi="仿宋" w:eastAsia="仿宋_GB2312"/>
          <w:spacing w:val="-6"/>
          <w:sz w:val="32"/>
          <w:szCs w:val="32"/>
          <w:lang w:val="en-US" w:eastAsia="zh-CN"/>
        </w:rPr>
      </w:pPr>
      <w:r>
        <w:rPr>
          <w:rFonts w:hint="eastAsia" w:ascii="仿宋_GB2312" w:hAnsi="仿宋" w:eastAsia="仿宋_GB2312"/>
          <w:spacing w:val="-6"/>
          <w:sz w:val="32"/>
          <w:szCs w:val="32"/>
          <w:lang w:val="en-US" w:eastAsia="zh-CN"/>
        </w:rPr>
        <w:t>一是项目全部纳入专项绩效管理，项目实施严格按照计划顺利开展，绩效总目标和阶段性目标均按计划如期完成。在组织工作开展方面，顺利完成了全县基层党建、组织人事、干部任免、人才引进、干部教育监督等各类县级重大会议、重要培训；完成了上级领导来溆考察调研期间的接待后勤保障等工作的开展；顺利完成了领导交办的其他各项工作。其他工作也得到有序开展，完成专项绩效既定目标。</w:t>
      </w:r>
    </w:p>
    <w:p>
      <w:pPr>
        <w:shd w:val="clear" w:color="auto" w:fill="FFFFFF"/>
        <w:spacing w:line="640" w:lineRule="exact"/>
        <w:ind w:firstLine="640"/>
        <w:rPr>
          <w:rFonts w:hint="eastAsia" w:ascii="仿宋_GB2312" w:hAnsi="仿宋" w:eastAsia="仿宋_GB2312"/>
          <w:spacing w:val="-6"/>
          <w:sz w:val="32"/>
          <w:szCs w:val="32"/>
          <w:lang w:val="en-US" w:eastAsia="zh-CN"/>
        </w:rPr>
      </w:pPr>
      <w:r>
        <w:rPr>
          <w:rFonts w:hint="eastAsia" w:ascii="仿宋_GB2312" w:hAnsi="仿宋" w:eastAsia="仿宋_GB2312"/>
          <w:spacing w:val="-6"/>
          <w:sz w:val="32"/>
          <w:szCs w:val="32"/>
          <w:lang w:val="en-US" w:eastAsia="zh-CN"/>
        </w:rPr>
        <w:t>二是严格按照相关业务管理制度，规范专项经费的开支。资金使用规范，符合国家财经法规和财务管理以及有关专项资金管理办法的规定；资金的拨付有完整的审批程序和手续；专款专用，不存在截留、挤占、挪用、虚列支出等情况。报账审核手续齐备，报账流程规范，财务资料完整，财务档案管理规范。</w:t>
      </w:r>
    </w:p>
    <w:p>
      <w:pPr>
        <w:shd w:val="clear" w:color="auto" w:fill="FFFFFF"/>
        <w:spacing w:line="640" w:lineRule="exact"/>
        <w:ind w:firstLine="640"/>
        <w:rPr>
          <w:rFonts w:hint="eastAsia" w:ascii="黑体" w:hAnsi="黑体" w:eastAsia="黑体"/>
          <w:spacing w:val="-2"/>
          <w:sz w:val="32"/>
          <w:szCs w:val="32"/>
        </w:rPr>
      </w:pPr>
      <w:r>
        <w:rPr>
          <w:rFonts w:hint="eastAsia" w:ascii="黑体" w:hAnsi="黑体" w:eastAsia="黑体"/>
          <w:spacing w:val="-2"/>
          <w:sz w:val="32"/>
          <w:szCs w:val="32"/>
        </w:rPr>
        <w:t>四、资产管理情况</w:t>
      </w:r>
    </w:p>
    <w:p>
      <w:pPr>
        <w:keepNext w:val="0"/>
        <w:keepLines w:val="0"/>
        <w:pageBreakBefore w:val="0"/>
        <w:shd w:val="clear" w:color="auto" w:fill="FFFFFF"/>
        <w:kinsoku/>
        <w:wordWrap/>
        <w:overflowPunct/>
        <w:topLinePunct w:val="0"/>
        <w:bidi w:val="0"/>
        <w:snapToGrid/>
        <w:spacing w:line="600" w:lineRule="exact"/>
        <w:ind w:firstLine="640"/>
        <w:textAlignment w:val="auto"/>
        <w:rPr>
          <w:rFonts w:hint="eastAsia" w:ascii="仿宋_GB2312" w:hAnsi="仿宋" w:eastAsia="仿宋_GB2312"/>
          <w:spacing w:val="-6"/>
          <w:sz w:val="32"/>
          <w:szCs w:val="32"/>
          <w:lang w:val="en-US" w:eastAsia="zh-CN"/>
        </w:rPr>
      </w:pPr>
      <w:r>
        <w:rPr>
          <w:rFonts w:hint="eastAsia" w:ascii="仿宋_GB2312" w:hAnsi="仿宋" w:eastAsia="仿宋_GB2312"/>
          <w:spacing w:val="-6"/>
          <w:sz w:val="32"/>
          <w:szCs w:val="32"/>
          <w:lang w:val="en-US" w:eastAsia="zh-CN"/>
        </w:rPr>
        <w:t>2022年度，我部门配置固定资产3.8万元（账面原值，下同）。从资产类别分析，配置土地、房屋及构筑物0万元； 配置通用设2.96万元； 配置专用设备0万元，配置家具、用具、装具及动植物 0.84万元。</w:t>
      </w:r>
    </w:p>
    <w:p>
      <w:pPr>
        <w:keepNext w:val="0"/>
        <w:keepLines w:val="0"/>
        <w:pageBreakBefore w:val="0"/>
        <w:shd w:val="clear" w:color="auto" w:fill="FFFFFF"/>
        <w:kinsoku/>
        <w:wordWrap/>
        <w:overflowPunct/>
        <w:topLinePunct w:val="0"/>
        <w:bidi w:val="0"/>
        <w:snapToGrid/>
        <w:spacing w:line="600" w:lineRule="exact"/>
        <w:ind w:firstLine="640"/>
        <w:textAlignment w:val="auto"/>
        <w:rPr>
          <w:rFonts w:hint="eastAsia" w:ascii="仿宋_GB2312" w:hAnsi="仿宋" w:eastAsia="仿宋_GB2312"/>
          <w:spacing w:val="-6"/>
          <w:sz w:val="32"/>
          <w:szCs w:val="32"/>
          <w:lang w:val="en-US" w:eastAsia="zh-CN"/>
        </w:rPr>
      </w:pPr>
      <w:r>
        <w:rPr>
          <w:rFonts w:hint="eastAsia" w:ascii="仿宋_GB2312" w:hAnsi="仿宋" w:eastAsia="仿宋_GB2312"/>
          <w:spacing w:val="-6"/>
          <w:sz w:val="32"/>
          <w:szCs w:val="32"/>
          <w:lang w:val="en-US" w:eastAsia="zh-CN"/>
        </w:rPr>
        <w:t>资产的管理方面，一是对单位资产进行统一管理,重视日常资产维护和定期清查制度，确保账账、账实相符。二是进一步规范各项管理措施,健全单位内部控制制度，完善固定资产管理办法，逐步加强在资产配置、使用、统计及监督检查等方面的管理措施。</w:t>
      </w:r>
    </w:p>
    <w:p>
      <w:pPr>
        <w:shd w:val="clear" w:color="auto" w:fill="FFFFFF"/>
        <w:spacing w:line="640" w:lineRule="exact"/>
        <w:ind w:firstLine="640"/>
        <w:rPr>
          <w:rFonts w:hint="eastAsia" w:ascii="黑体" w:hAnsi="黑体" w:eastAsia="黑体"/>
          <w:spacing w:val="-2"/>
          <w:sz w:val="32"/>
          <w:szCs w:val="32"/>
        </w:rPr>
      </w:pPr>
      <w:r>
        <w:rPr>
          <w:rFonts w:hint="eastAsia" w:ascii="黑体" w:hAnsi="黑体" w:eastAsia="黑体"/>
          <w:spacing w:val="-2"/>
          <w:sz w:val="32"/>
          <w:szCs w:val="32"/>
        </w:rPr>
        <w:t>五、部门整体支出绩效情况</w:t>
      </w:r>
    </w:p>
    <w:p>
      <w:pPr>
        <w:keepNext w:val="0"/>
        <w:keepLines w:val="0"/>
        <w:pageBreakBefore w:val="0"/>
        <w:shd w:val="clear" w:color="auto" w:fill="FFFFFF"/>
        <w:kinsoku/>
        <w:wordWrap/>
        <w:overflowPunct/>
        <w:topLinePunct w:val="0"/>
        <w:bidi w:val="0"/>
        <w:snapToGrid/>
        <w:spacing w:line="600" w:lineRule="exact"/>
        <w:ind w:firstLine="640"/>
        <w:textAlignment w:val="auto"/>
        <w:rPr>
          <w:rFonts w:hint="eastAsia" w:ascii="仿宋_GB2312" w:hAnsi="仿宋" w:eastAsia="仿宋_GB2312"/>
          <w:spacing w:val="-6"/>
          <w:sz w:val="32"/>
          <w:szCs w:val="32"/>
          <w:lang w:val="en-US" w:eastAsia="zh-CN"/>
        </w:rPr>
      </w:pPr>
      <w:r>
        <w:rPr>
          <w:rFonts w:hint="eastAsia" w:ascii="仿宋_GB2312" w:hAnsi="仿宋" w:eastAsia="仿宋_GB2312"/>
          <w:spacing w:val="-6"/>
          <w:sz w:val="32"/>
          <w:szCs w:val="32"/>
          <w:lang w:val="en-US" w:eastAsia="zh-CN"/>
        </w:rPr>
        <w:t>一年来，办公室严格执行《党政机关国内公务接待管理规定》、《湖南省党政机关国内公务接待管理办法》等相关规定，坚持务实节俭、严格标准、高效透明，提升服务水平，发挥后勤接待的服务保障作用，实现了部机关的高效运转。一是认真做好接待工作。圆满完成了省市领导来溆调研基层党建、组织人事、关心下一代等工作的重要接待任务；出色完成了干部考察考察等重要接待工作。二是加强机关建设创建节约型机关。为贯彻落实习近平生态文明思想和党的十九大精神，结合我部实际，开展创建“平安机关”、“文明单位”活动，利用宣传栏、宣传图标、微信、短信提示等多种形式宣传绿色办公，引导干部职工养成简约舒适、绿色低碳的生活和工作方式，形成崇尚绿色生活的良好氛围。三是进一步改善财务状况，财务管理上积极开展增收节支，创建节约型机关，确保了机关正常运转。</w:t>
      </w:r>
    </w:p>
    <w:p>
      <w:pPr>
        <w:shd w:val="clear" w:color="auto" w:fill="FFFFFF"/>
        <w:spacing w:line="640" w:lineRule="exact"/>
        <w:ind w:firstLine="640"/>
        <w:rPr>
          <w:rFonts w:hint="eastAsia" w:ascii="仿宋_GB2312" w:hAnsi="仿宋" w:eastAsia="仿宋_GB2312"/>
          <w:spacing w:val="-6"/>
          <w:sz w:val="32"/>
          <w:szCs w:val="32"/>
          <w:lang w:val="en-US" w:eastAsia="zh-CN"/>
        </w:rPr>
      </w:pPr>
      <w:r>
        <w:rPr>
          <w:rFonts w:hint="eastAsia" w:ascii="仿宋_GB2312" w:hAnsi="仿宋" w:eastAsia="仿宋_GB2312"/>
          <w:spacing w:val="-6"/>
          <w:sz w:val="32"/>
          <w:szCs w:val="32"/>
          <w:lang w:val="en-US" w:eastAsia="zh-CN"/>
        </w:rPr>
        <w:t>2022年，我单位积极推进预算绩效管理，合理制定和编报年度预算，加强资金管理，提高资金使用效益，建立完善内部监督机制，合理列支年度经费支出。按照县委办预算绩效管理工作的总体要求，2022年组织部年度收入总计742.99万元，其中公共财政拨款704.52万元，其他收入38.47万元，全部实行整体支出绩效目标管理。2022年度支出总计742.99万元，基本支出628.54万元，项目支出114.45万元。2022年度部门整体支出资金使用严格按审批程序办理、操作规范，会计核算结果真实、准确，各项支出严格按照各项制度执行。</w:t>
      </w:r>
    </w:p>
    <w:p>
      <w:pPr>
        <w:shd w:val="clear" w:color="auto" w:fill="FFFFFF"/>
        <w:spacing w:line="640" w:lineRule="exact"/>
        <w:ind w:firstLine="640"/>
        <w:rPr>
          <w:rFonts w:hint="eastAsia" w:ascii="黑体" w:hAnsi="黑体" w:eastAsia="黑体"/>
          <w:spacing w:val="-2"/>
          <w:sz w:val="32"/>
          <w:szCs w:val="32"/>
        </w:rPr>
      </w:pPr>
      <w:r>
        <w:rPr>
          <w:rFonts w:hint="eastAsia" w:ascii="黑体" w:hAnsi="黑体" w:eastAsia="黑体"/>
          <w:spacing w:val="-2"/>
          <w:sz w:val="32"/>
          <w:szCs w:val="32"/>
        </w:rPr>
        <w:t>六、存在的主要问题</w:t>
      </w:r>
    </w:p>
    <w:p>
      <w:pPr>
        <w:keepNext w:val="0"/>
        <w:keepLines w:val="0"/>
        <w:pageBreakBefore w:val="0"/>
        <w:shd w:val="clear" w:color="auto" w:fill="FFFFFF"/>
        <w:kinsoku/>
        <w:wordWrap/>
        <w:overflowPunct/>
        <w:topLinePunct w:val="0"/>
        <w:bidi w:val="0"/>
        <w:snapToGrid/>
        <w:spacing w:line="600" w:lineRule="exact"/>
        <w:ind w:firstLine="640"/>
        <w:textAlignment w:val="auto"/>
        <w:rPr>
          <w:rFonts w:hint="eastAsia" w:ascii="仿宋_GB2312" w:hAnsi="仿宋" w:eastAsia="仿宋_GB2312"/>
          <w:spacing w:val="-6"/>
          <w:sz w:val="32"/>
          <w:szCs w:val="32"/>
          <w:lang w:val="en-US" w:eastAsia="zh-CN"/>
        </w:rPr>
      </w:pPr>
      <w:r>
        <w:rPr>
          <w:rFonts w:hint="eastAsia" w:ascii="仿宋_GB2312" w:hAnsi="仿宋" w:eastAsia="仿宋_GB2312"/>
          <w:spacing w:val="-6"/>
          <w:sz w:val="32"/>
          <w:szCs w:val="32"/>
          <w:lang w:val="en-US" w:eastAsia="zh-CN"/>
        </w:rPr>
        <w:t>1、年初申报项目资金考虑不到位，年中根据工作任务随时可能增加项目，导致财政资金不能及时拨付到位。</w:t>
      </w:r>
    </w:p>
    <w:p>
      <w:pPr>
        <w:keepNext w:val="0"/>
        <w:keepLines w:val="0"/>
        <w:pageBreakBefore w:val="0"/>
        <w:shd w:val="clear" w:color="auto" w:fill="FFFFFF"/>
        <w:kinsoku/>
        <w:wordWrap/>
        <w:overflowPunct/>
        <w:topLinePunct w:val="0"/>
        <w:bidi w:val="0"/>
        <w:snapToGrid/>
        <w:spacing w:line="600" w:lineRule="exact"/>
        <w:ind w:firstLine="640"/>
        <w:textAlignment w:val="auto"/>
        <w:rPr>
          <w:rFonts w:hint="eastAsia" w:ascii="仿宋_GB2312" w:hAnsi="仿宋" w:eastAsia="仿宋_GB2312"/>
          <w:spacing w:val="-2"/>
          <w:sz w:val="32"/>
          <w:szCs w:val="21"/>
        </w:rPr>
      </w:pPr>
      <w:r>
        <w:rPr>
          <w:rFonts w:hint="eastAsia" w:ascii="仿宋_GB2312" w:hAnsi="仿宋" w:eastAsia="仿宋_GB2312"/>
          <w:spacing w:val="-6"/>
          <w:sz w:val="32"/>
          <w:szCs w:val="32"/>
          <w:lang w:val="en-US" w:eastAsia="zh-CN"/>
        </w:rPr>
        <w:t>2、内控制度需进一步完善，建立健全了财务管理制度、固定资产管理制度，但仍需进一步强化财务约束监督体制</w:t>
      </w:r>
      <w:r>
        <w:rPr>
          <w:rFonts w:hint="eastAsia" w:ascii="仿宋_GB2312" w:hAnsi="仿宋" w:eastAsia="仿宋_GB2312"/>
          <w:spacing w:val="-2"/>
          <w:sz w:val="32"/>
          <w:szCs w:val="32"/>
        </w:rPr>
        <w:t>。</w:t>
      </w:r>
    </w:p>
    <w:p>
      <w:pPr>
        <w:shd w:val="clear" w:color="auto" w:fill="FFFFFF"/>
        <w:spacing w:line="640" w:lineRule="exact"/>
        <w:ind w:firstLine="640"/>
        <w:rPr>
          <w:rFonts w:hint="eastAsia" w:ascii="黑体" w:hAnsi="黑体" w:eastAsia="黑体"/>
          <w:spacing w:val="-2"/>
          <w:sz w:val="32"/>
          <w:szCs w:val="32"/>
        </w:rPr>
      </w:pPr>
      <w:r>
        <w:rPr>
          <w:rFonts w:hint="eastAsia" w:ascii="黑体" w:hAnsi="黑体" w:eastAsia="黑体"/>
          <w:spacing w:val="-2"/>
          <w:sz w:val="32"/>
          <w:szCs w:val="32"/>
        </w:rPr>
        <w:t>七、改进措施和有关建议</w:t>
      </w:r>
    </w:p>
    <w:p>
      <w:pPr>
        <w:keepNext w:val="0"/>
        <w:keepLines w:val="0"/>
        <w:pageBreakBefore w:val="0"/>
        <w:shd w:val="clear" w:color="auto" w:fill="FFFFFF"/>
        <w:kinsoku/>
        <w:wordWrap/>
        <w:overflowPunct/>
        <w:topLinePunct w:val="0"/>
        <w:bidi w:val="0"/>
        <w:snapToGrid/>
        <w:spacing w:line="600" w:lineRule="exact"/>
        <w:ind w:firstLine="640"/>
        <w:textAlignment w:val="auto"/>
        <w:rPr>
          <w:rFonts w:hint="eastAsia" w:ascii="仿宋_GB2312" w:hAnsi="仿宋" w:eastAsia="仿宋_GB2312"/>
          <w:spacing w:val="-6"/>
          <w:sz w:val="32"/>
          <w:szCs w:val="32"/>
          <w:lang w:val="en-US" w:eastAsia="zh-CN"/>
        </w:rPr>
      </w:pPr>
      <w:r>
        <w:rPr>
          <w:rFonts w:hint="eastAsia" w:ascii="仿宋_GB2312" w:hAnsi="仿宋" w:eastAsia="仿宋_GB2312"/>
          <w:spacing w:val="-6"/>
          <w:sz w:val="32"/>
          <w:szCs w:val="32"/>
          <w:lang w:val="en-US" w:eastAsia="zh-CN"/>
        </w:rPr>
        <w:t>1、科学合理编制预算，严格执行预算。进一步提高预算编制到位率，做准做全基本支出预算，做全项目支出预算，加强预算支出的审核、跟踪及预算执行情况分析，提高预算编制严谨性和可控性。</w:t>
      </w:r>
    </w:p>
    <w:p>
      <w:pPr>
        <w:keepNext w:val="0"/>
        <w:keepLines w:val="0"/>
        <w:pageBreakBefore w:val="0"/>
        <w:shd w:val="clear" w:color="auto" w:fill="FFFFFF"/>
        <w:kinsoku/>
        <w:wordWrap/>
        <w:overflowPunct/>
        <w:topLinePunct w:val="0"/>
        <w:bidi w:val="0"/>
        <w:snapToGrid/>
        <w:spacing w:line="600" w:lineRule="exact"/>
        <w:ind w:firstLine="640"/>
        <w:textAlignment w:val="auto"/>
        <w:rPr>
          <w:rFonts w:hint="eastAsia" w:ascii="仿宋_GB2312" w:hAnsi="仿宋" w:eastAsia="仿宋_GB2312"/>
          <w:spacing w:val="-6"/>
          <w:sz w:val="32"/>
          <w:szCs w:val="32"/>
          <w:lang w:val="en-US" w:eastAsia="zh-CN"/>
        </w:rPr>
      </w:pPr>
      <w:r>
        <w:rPr>
          <w:rFonts w:hint="eastAsia" w:ascii="仿宋_GB2312" w:hAnsi="仿宋" w:eastAsia="仿宋_GB2312"/>
          <w:spacing w:val="-6"/>
          <w:sz w:val="32"/>
          <w:szCs w:val="32"/>
          <w:lang w:val="en-US" w:eastAsia="zh-CN"/>
        </w:rPr>
        <w:t>2、进一步加强项目资金管理。严格实行项目管理程序化，实现项目申报、实施、拨付、评价全流程监督与控制，规范专项资金管理，提高专项资金的使用效益。</w:t>
      </w:r>
    </w:p>
    <w:p>
      <w:pPr>
        <w:keepNext w:val="0"/>
        <w:keepLines w:val="0"/>
        <w:pageBreakBefore w:val="0"/>
        <w:shd w:val="clear" w:color="auto" w:fill="FFFFFF"/>
        <w:kinsoku/>
        <w:wordWrap/>
        <w:overflowPunct/>
        <w:topLinePunct w:val="0"/>
        <w:bidi w:val="0"/>
        <w:snapToGrid/>
        <w:spacing w:line="600" w:lineRule="exact"/>
        <w:ind w:firstLine="640"/>
        <w:textAlignment w:val="auto"/>
        <w:rPr>
          <w:rFonts w:hint="eastAsia" w:ascii="仿宋_GB2312" w:hAnsi="仿宋" w:eastAsia="仿宋_GB2312"/>
          <w:spacing w:val="-6"/>
          <w:sz w:val="32"/>
          <w:szCs w:val="32"/>
          <w:lang w:val="en-US" w:eastAsia="zh-CN"/>
        </w:rPr>
      </w:pPr>
      <w:r>
        <w:rPr>
          <w:rFonts w:hint="eastAsia" w:ascii="仿宋_GB2312" w:hAnsi="仿宋" w:eastAsia="仿宋_GB2312"/>
          <w:spacing w:val="-6"/>
          <w:sz w:val="32"/>
          <w:szCs w:val="32"/>
          <w:lang w:val="en-US" w:eastAsia="zh-CN"/>
        </w:rPr>
        <w:t>3、进一步完善内部管理制度，提升管理效能。</w:t>
      </w:r>
    </w:p>
    <w:p>
      <w:pPr>
        <w:spacing w:line="640" w:lineRule="exact"/>
        <w:rPr>
          <w:rFonts w:hint="eastAsia" w:ascii="仿宋_GB2312" w:eastAsia="仿宋_GB2312"/>
        </w:rPr>
      </w:pPr>
    </w:p>
    <w:p/>
    <w:sectPr>
      <w:headerReference r:id="rId5" w:type="first"/>
      <w:footerReference r:id="rId8" w:type="first"/>
      <w:headerReference r:id="rId3" w:type="default"/>
      <w:footerReference r:id="rId6" w:type="default"/>
      <w:headerReference r:id="rId4" w:type="even"/>
      <w:footerReference r:id="rId7" w:type="even"/>
      <w:pgSz w:w="11906" w:h="16838"/>
      <w:pgMar w:top="2155" w:right="1814" w:bottom="1701" w:left="1814" w:header="851" w:footer="1247" w:gutter="0"/>
      <w:pgNumType w:start="8"/>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方正大标宋简体">
    <w:altName w:val="Arial Unicode MS"/>
    <w:panose1 w:val="03000509000000000000"/>
    <w:charset w:val="86"/>
    <w:family w:val="script"/>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楷体_GB2312">
    <w:altName w:val="楷体"/>
    <w:panose1 w:val="02010609030101010101"/>
    <w:charset w:val="86"/>
    <w:family w:val="auto"/>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Arial Unicode MS">
    <w:panose1 w:val="020B0604020202020204"/>
    <w:charset w:val="86"/>
    <w:family w:val="auto"/>
    <w:pitch w:val="default"/>
    <w:sig w:usb0="FFFFFFFF" w:usb1="E9FFFFFF" w:usb2="0000003F" w:usb3="00000000" w:csb0="603F01FF" w:csb1="FFFF0000"/>
  </w:font>
  <w:font w:name="仿宋_GB2312">
    <w:altName w:val="仿宋"/>
    <w:panose1 w:val="00000000000000000000"/>
    <w:charset w:val="00"/>
    <w:family w:val="auto"/>
    <w:pitch w:val="default"/>
    <w:sig w:usb0="00000000" w:usb1="00000000" w:usb2="00000000" w:usb3="00000000" w:csb0="00000000" w:csb1="00000000"/>
  </w:font>
  <w:font w:name="方正小标宋简体">
    <w:panose1 w:val="03000509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rPr>
        <w:rStyle w:val="6"/>
        <w:sz w:val="24"/>
        <w:szCs w:val="24"/>
      </w:rPr>
    </w:pPr>
    <w:r>
      <w:rPr>
        <w:rStyle w:val="6"/>
        <w:sz w:val="24"/>
        <w:szCs w:val="24"/>
      </w:rPr>
      <w:fldChar w:fldCharType="begin"/>
    </w:r>
    <w:r>
      <w:rPr>
        <w:rStyle w:val="6"/>
        <w:sz w:val="24"/>
        <w:szCs w:val="24"/>
      </w:rPr>
      <w:instrText xml:space="preserve">PAGE  </w:instrText>
    </w:r>
    <w:r>
      <w:rPr>
        <w:rStyle w:val="6"/>
        <w:sz w:val="24"/>
        <w:szCs w:val="24"/>
      </w:rPr>
      <w:fldChar w:fldCharType="separate"/>
    </w:r>
    <w:r>
      <w:rPr>
        <w:rStyle w:val="6"/>
        <w:sz w:val="24"/>
        <w:szCs w:val="24"/>
      </w:rPr>
      <w:t>9</w:t>
    </w:r>
    <w:r>
      <w:rPr>
        <w:rStyle w:val="6"/>
        <w:sz w:val="24"/>
        <w:szCs w:val="24"/>
      </w:rPr>
      <w:fldChar w:fldCharType="end"/>
    </w:r>
  </w:p>
  <w:p>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rPr>
        <w:rStyle w:val="6"/>
      </w:rPr>
    </w:pPr>
    <w:r>
      <w:rPr>
        <w:rStyle w:val="6"/>
      </w:rPr>
      <w:fldChar w:fldCharType="begin"/>
    </w:r>
    <w:r>
      <w:rPr>
        <w:rStyle w:val="6"/>
      </w:rPr>
      <w:instrText xml:space="preserve">PAGE  </w:instrText>
    </w:r>
    <w:r>
      <w:rPr>
        <w:rStyle w:val="6"/>
      </w:rPr>
      <w:fldChar w:fldCharType="separate"/>
    </w:r>
    <w:r>
      <w:rPr>
        <w:rStyle w:val="6"/>
      </w:rPr>
      <w:t>9</w:t>
    </w:r>
    <w:r>
      <w:rPr>
        <w:rStyle w:val="6"/>
      </w:rPr>
      <w:fldChar w:fldCharType="end"/>
    </w:r>
  </w:p>
  <w:p>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92443A8"/>
    <w:multiLevelType w:val="singleLevel"/>
    <w:tmpl w:val="192443A8"/>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IyYTJlM2Q1OGEzZDkwM2I0MjExZTFmNTRiNWZjNzkifQ=="/>
  </w:docVars>
  <w:rsids>
    <w:rsidRoot w:val="43F05324"/>
    <w:rsid w:val="029D33DC"/>
    <w:rsid w:val="0F135152"/>
    <w:rsid w:val="16361726"/>
    <w:rsid w:val="17CC40F0"/>
    <w:rsid w:val="1E6F59B1"/>
    <w:rsid w:val="214C5045"/>
    <w:rsid w:val="23F90D26"/>
    <w:rsid w:val="25EE5B79"/>
    <w:rsid w:val="28A1076C"/>
    <w:rsid w:val="29565F0F"/>
    <w:rsid w:val="2A3224D8"/>
    <w:rsid w:val="3BA96372"/>
    <w:rsid w:val="43F05324"/>
    <w:rsid w:val="487A5BA2"/>
    <w:rsid w:val="4EFB2D25"/>
    <w:rsid w:val="52E0248C"/>
    <w:rsid w:val="536F35A6"/>
    <w:rsid w:val="555C71A9"/>
    <w:rsid w:val="66ED7A89"/>
    <w:rsid w:val="7BC32103"/>
    <w:rsid w:val="7C5013C0"/>
    <w:rsid w:val="7ECF12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szCs w:val="18"/>
    </w:rPr>
  </w:style>
  <w:style w:type="paragraph" w:styleId="3">
    <w:name w:val="header"/>
    <w:basedOn w:val="1"/>
    <w:qFormat/>
    <w:uiPriority w:val="0"/>
    <w:pPr>
      <w:pBdr>
        <w:bottom w:val="single" w:color="auto" w:sz="6" w:space="1"/>
      </w:pBdr>
      <w:tabs>
        <w:tab w:val="center" w:pos="4153"/>
        <w:tab w:val="right" w:pos="8306"/>
      </w:tabs>
      <w:snapToGrid w:val="0"/>
      <w:jc w:val="center"/>
    </w:pPr>
    <w:rPr>
      <w:sz w:val="18"/>
      <w:szCs w:val="18"/>
    </w:rPr>
  </w:style>
  <w:style w:type="character" w:styleId="6">
    <w:name w:val="page number"/>
    <w:basedOn w:val="5"/>
    <w:qFormat/>
    <w:uiPriority w:val="0"/>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4517</Words>
  <Characters>4775</Characters>
  <Lines>0</Lines>
  <Paragraphs>0</Paragraphs>
  <TotalTime>1</TotalTime>
  <ScaleCrop>false</ScaleCrop>
  <LinksUpToDate>false</LinksUpToDate>
  <CharactersWithSpaces>4779</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2023-05-16T07:47:00Z</dcterms:created>
  <dc:creator>笑死你笑死你笑死</dc:creator>
  <cp:lastModifiedBy>笑死你笑死你笑死</cp:lastModifiedBy>
  <dcterms:modified xsi:type="dcterms:W3CDTF">2023-05-29T07:56:45Z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A9D8C31B57EA46708E95C8479794E5B9_11</vt:lpwstr>
  </property>
</Properties>
</file>