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keepNext w:val="0"/>
        <w:keepLines w:val="0"/>
        <w:pageBreakBefore w:val="0"/>
        <w:widowControl/>
        <w:shd w:val="clear" w:color="auto" w:fill="FFFFFF"/>
        <w:kinsoku/>
        <w:wordWrap/>
        <w:overflowPunct/>
        <w:topLinePunct w:val="0"/>
        <w:autoSpaceDE/>
        <w:autoSpaceDN/>
        <w:bidi w:val="0"/>
        <w:adjustRightInd/>
        <w:snapToGrid/>
        <w:spacing w:line="640" w:lineRule="exact"/>
        <w:jc w:val="center"/>
        <w:textAlignment w:val="auto"/>
        <w:outlineLvl w:val="9"/>
        <w:rPr>
          <w:rFonts w:hint="eastAsia" w:ascii="方正大标宋简体" w:hAnsi="方正大标宋简体" w:eastAsia="方正大标宋简体" w:cs="方正大标宋简体"/>
          <w:b w:val="0"/>
          <w:bCs/>
          <w:color w:val="auto"/>
          <w:kern w:val="0"/>
          <w:sz w:val="44"/>
          <w:szCs w:val="44"/>
          <w:shd w:val="clear" w:color="auto" w:fill="FFFFFF"/>
          <w:lang w:eastAsia="zh-CN" w:bidi="ar"/>
        </w:rPr>
      </w:pPr>
    </w:p>
    <w:p>
      <w:pPr>
        <w:keepNext w:val="0"/>
        <w:keepLines w:val="0"/>
        <w:pageBreakBefore w:val="0"/>
        <w:widowControl/>
        <w:shd w:val="clear" w:color="auto" w:fill="FFFFFF"/>
        <w:kinsoku/>
        <w:wordWrap/>
        <w:overflowPunct/>
        <w:topLinePunct w:val="0"/>
        <w:autoSpaceDE/>
        <w:autoSpaceDN/>
        <w:bidi w:val="0"/>
        <w:adjustRightInd/>
        <w:snapToGrid/>
        <w:spacing w:line="640" w:lineRule="exact"/>
        <w:jc w:val="center"/>
        <w:textAlignment w:val="auto"/>
        <w:outlineLvl w:val="9"/>
        <w:rPr>
          <w:rFonts w:hint="eastAsia" w:ascii="方正大标宋简体" w:hAnsi="方正大标宋简体" w:eastAsia="方正大标宋简体" w:cs="方正大标宋简体"/>
          <w:b w:val="0"/>
          <w:bCs/>
          <w:color w:val="auto"/>
          <w:kern w:val="0"/>
          <w:sz w:val="44"/>
          <w:szCs w:val="44"/>
          <w:shd w:val="clear" w:color="auto" w:fill="FFFFFF"/>
          <w:lang w:bidi="ar"/>
        </w:rPr>
      </w:pPr>
      <w:r>
        <w:rPr>
          <w:rFonts w:hint="eastAsia" w:ascii="方正大标宋简体" w:hAnsi="方正大标宋简体" w:eastAsia="方正大标宋简体" w:cs="方正大标宋简体"/>
          <w:b w:val="0"/>
          <w:bCs/>
          <w:color w:val="auto"/>
          <w:kern w:val="0"/>
          <w:sz w:val="44"/>
          <w:szCs w:val="44"/>
          <w:shd w:val="clear" w:color="auto" w:fill="FFFFFF"/>
          <w:lang w:eastAsia="zh-CN" w:bidi="ar"/>
        </w:rPr>
        <w:t>共产主义青年团溆浦县委员会2022</w:t>
      </w:r>
      <w:r>
        <w:rPr>
          <w:rFonts w:hint="eastAsia" w:ascii="方正大标宋简体" w:hAnsi="方正大标宋简体" w:eastAsia="方正大标宋简体" w:cs="方正大标宋简体"/>
          <w:b w:val="0"/>
          <w:bCs/>
          <w:color w:val="auto"/>
          <w:kern w:val="0"/>
          <w:sz w:val="44"/>
          <w:szCs w:val="44"/>
          <w:shd w:val="clear" w:color="auto" w:fill="FFFFFF"/>
          <w:lang w:bidi="ar"/>
        </w:rPr>
        <w:t>年整体支出绩效自评报告</w:t>
      </w:r>
    </w:p>
    <w:p>
      <w:pPr>
        <w:keepNext w:val="0"/>
        <w:keepLines w:val="0"/>
        <w:pageBreakBefore w:val="0"/>
        <w:widowControl/>
        <w:shd w:val="clear" w:color="auto" w:fill="FFFFFF"/>
        <w:kinsoku/>
        <w:wordWrap/>
        <w:overflowPunct/>
        <w:topLinePunct w:val="0"/>
        <w:autoSpaceDE/>
        <w:autoSpaceDN/>
        <w:bidi w:val="0"/>
        <w:adjustRightInd/>
        <w:snapToGrid/>
        <w:spacing w:line="640" w:lineRule="exact"/>
        <w:jc w:val="center"/>
        <w:textAlignment w:val="auto"/>
        <w:outlineLvl w:val="9"/>
        <w:rPr>
          <w:rFonts w:hint="eastAsia" w:ascii="方正大标宋简体" w:hAnsi="方正大标宋简体" w:eastAsia="方正大标宋简体" w:cs="方正大标宋简体"/>
          <w:b w:val="0"/>
          <w:bCs/>
          <w:color w:val="auto"/>
          <w:kern w:val="0"/>
          <w:sz w:val="44"/>
          <w:szCs w:val="44"/>
          <w:shd w:val="clear" w:color="auto" w:fill="FFFFFF"/>
          <w:lang w:bidi="ar"/>
        </w:rPr>
      </w:pPr>
    </w:p>
    <w:p>
      <w:pPr>
        <w:shd w:val="clear" w:color="auto" w:fill="FFFFFF"/>
        <w:spacing w:line="640" w:lineRule="exact"/>
        <w:ind w:firstLine="640"/>
        <w:rPr>
          <w:rFonts w:hint="eastAsia" w:ascii="黑体" w:hAnsi="黑体" w:eastAsia="黑体"/>
          <w:spacing w:val="-2"/>
          <w:sz w:val="32"/>
          <w:szCs w:val="21"/>
        </w:rPr>
      </w:pPr>
      <w:r>
        <w:rPr>
          <w:rFonts w:hint="eastAsia" w:ascii="黑体" w:hAnsi="黑体" w:eastAsia="黑体"/>
          <w:spacing w:val="-2"/>
          <w:sz w:val="32"/>
          <w:szCs w:val="32"/>
        </w:rPr>
        <w:t>一、部门概况</w:t>
      </w:r>
    </w:p>
    <w:p>
      <w:pPr>
        <w:shd w:val="clear" w:color="auto" w:fill="FFFFFF"/>
        <w:spacing w:line="640" w:lineRule="exact"/>
        <w:ind w:firstLine="640"/>
        <w:rPr>
          <w:rFonts w:hint="eastAsia" w:ascii="仿宋_GB2312" w:hAnsi="仿宋" w:eastAsia="仿宋_GB2312"/>
          <w:b w:val="0"/>
          <w:bCs w:val="0"/>
          <w:spacing w:val="-2"/>
          <w:sz w:val="32"/>
          <w:szCs w:val="32"/>
        </w:rPr>
      </w:pPr>
      <w:r>
        <w:rPr>
          <w:rFonts w:hint="eastAsia" w:ascii="仿宋_GB2312" w:hAnsi="仿宋" w:eastAsia="仿宋_GB2312"/>
          <w:b w:val="0"/>
          <w:bCs w:val="0"/>
          <w:spacing w:val="-2"/>
          <w:sz w:val="32"/>
          <w:szCs w:val="32"/>
        </w:rPr>
        <w:t>（一）部门基本情况</w:t>
      </w:r>
    </w:p>
    <w:p>
      <w:pPr>
        <w:widowControl/>
        <w:spacing w:line="58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color w:val="auto"/>
          <w:sz w:val="32"/>
          <w:szCs w:val="32"/>
          <w:shd w:val="clear" w:color="auto" w:fill="FFFFFF"/>
          <w:lang w:eastAsia="zh-CN"/>
        </w:rPr>
        <w:t>共产主义青年团溆浦县委员会</w:t>
      </w:r>
      <w:r>
        <w:rPr>
          <w:rFonts w:hint="eastAsia" w:ascii="仿宋_GB2312" w:hAnsi="仿宋_GB2312" w:eastAsia="仿宋_GB2312" w:cs="仿宋_GB2312"/>
          <w:color w:val="auto"/>
          <w:sz w:val="32"/>
          <w:szCs w:val="32"/>
          <w:shd w:val="clear" w:color="auto" w:fill="FFFFFF"/>
        </w:rPr>
        <w:t>是县委、县政府领导的全县各界青年的社会群众团体，是党和政府联系青年的桥梁和纽带</w:t>
      </w:r>
      <w:r>
        <w:rPr>
          <w:rFonts w:hint="eastAsia" w:ascii="仿宋_GB2312" w:hAnsi="仿宋_GB2312" w:eastAsia="仿宋_GB2312" w:cs="仿宋_GB2312"/>
          <w:color w:val="auto"/>
          <w:sz w:val="32"/>
          <w:szCs w:val="32"/>
          <w:shd w:val="clear" w:color="auto" w:fill="FFFFFF"/>
          <w:lang w:val="en-US" w:eastAsia="zh-CN"/>
        </w:rPr>
        <w:t>。</w:t>
      </w:r>
      <w:r>
        <w:rPr>
          <w:rFonts w:hint="eastAsia" w:ascii="仿宋_GB2312" w:hAnsi="仿宋_GB2312" w:eastAsia="仿宋_GB2312" w:cs="仿宋_GB2312"/>
          <w:color w:val="auto"/>
          <w:sz w:val="32"/>
          <w:szCs w:val="32"/>
          <w:shd w:val="clear" w:color="auto" w:fill="FFFFFF"/>
          <w:lang w:eastAsia="zh-CN"/>
        </w:rPr>
        <w:t>2022</w:t>
      </w:r>
      <w:r>
        <w:rPr>
          <w:rFonts w:hint="eastAsia" w:ascii="仿宋_GB2312" w:hAnsi="仿宋_GB2312" w:eastAsia="仿宋_GB2312" w:cs="仿宋_GB2312"/>
          <w:color w:val="auto"/>
          <w:sz w:val="32"/>
          <w:szCs w:val="32"/>
          <w:shd w:val="clear" w:color="auto" w:fill="FFFFFF"/>
        </w:rPr>
        <w:t>年有在职干部</w:t>
      </w:r>
      <w:r>
        <w:rPr>
          <w:rFonts w:hint="eastAsia" w:ascii="仿宋_GB2312" w:hAnsi="仿宋_GB2312" w:eastAsia="仿宋_GB2312" w:cs="仿宋_GB2312"/>
          <w:color w:val="auto"/>
          <w:sz w:val="32"/>
          <w:szCs w:val="32"/>
          <w:shd w:val="clear" w:color="auto" w:fill="FFFFFF"/>
          <w:lang w:val="en-US" w:eastAsia="zh-CN"/>
        </w:rPr>
        <w:t>6</w:t>
      </w:r>
      <w:r>
        <w:rPr>
          <w:rFonts w:hint="eastAsia" w:ascii="仿宋_GB2312" w:hAnsi="仿宋_GB2312" w:eastAsia="仿宋_GB2312" w:cs="仿宋_GB2312"/>
          <w:color w:val="auto"/>
          <w:sz w:val="32"/>
          <w:szCs w:val="32"/>
          <w:shd w:val="clear" w:color="auto" w:fill="FFFFFF"/>
        </w:rPr>
        <w:t>人，其中书记1人，副书记</w:t>
      </w:r>
      <w:r>
        <w:rPr>
          <w:rFonts w:hint="eastAsia" w:ascii="仿宋_GB2312" w:hAnsi="仿宋_GB2312" w:eastAsia="仿宋_GB2312" w:cs="仿宋_GB2312"/>
          <w:color w:val="auto"/>
          <w:sz w:val="32"/>
          <w:szCs w:val="32"/>
          <w:shd w:val="clear" w:color="auto" w:fill="FFFFFF"/>
          <w:lang w:val="en-US" w:eastAsia="zh-CN"/>
        </w:rPr>
        <w:t>2</w:t>
      </w:r>
      <w:r>
        <w:rPr>
          <w:rFonts w:hint="eastAsia" w:ascii="仿宋_GB2312" w:hAnsi="仿宋_GB2312" w:eastAsia="仿宋_GB2312" w:cs="仿宋_GB2312"/>
          <w:color w:val="auto"/>
          <w:sz w:val="32"/>
          <w:szCs w:val="32"/>
          <w:shd w:val="clear" w:color="auto" w:fill="FFFFFF"/>
        </w:rPr>
        <w:t>人，办公室主任1人，希望工程办公室</w:t>
      </w:r>
      <w:r>
        <w:rPr>
          <w:rFonts w:hint="eastAsia" w:ascii="仿宋_GB2312" w:hAnsi="仿宋_GB2312" w:eastAsia="仿宋_GB2312" w:cs="仿宋_GB2312"/>
          <w:color w:val="auto"/>
          <w:sz w:val="32"/>
          <w:szCs w:val="32"/>
          <w:shd w:val="clear" w:color="auto" w:fill="FFFFFF"/>
          <w:lang w:val="en-US" w:eastAsia="zh-CN"/>
        </w:rPr>
        <w:t>2</w:t>
      </w:r>
      <w:r>
        <w:rPr>
          <w:rFonts w:hint="eastAsia" w:ascii="仿宋_GB2312" w:hAnsi="仿宋_GB2312" w:eastAsia="仿宋_GB2312" w:cs="仿宋_GB2312"/>
          <w:color w:val="auto"/>
          <w:sz w:val="32"/>
          <w:szCs w:val="32"/>
          <w:shd w:val="clear" w:color="auto" w:fill="FFFFFF"/>
        </w:rPr>
        <w:t>人</w:t>
      </w:r>
      <w:r>
        <w:rPr>
          <w:rFonts w:hint="eastAsia" w:ascii="仿宋_GB2312" w:hAnsi="宋体" w:eastAsia="仿宋_GB2312" w:cs="宋体"/>
          <w:kern w:val="0"/>
          <w:sz w:val="32"/>
          <w:szCs w:val="32"/>
        </w:rPr>
        <w:t>。</w:t>
      </w:r>
    </w:p>
    <w:p>
      <w:pPr>
        <w:numPr>
          <w:ilvl w:val="0"/>
          <w:numId w:val="1"/>
        </w:numPr>
        <w:shd w:val="clear" w:color="auto" w:fill="FFFFFF"/>
        <w:spacing w:line="640" w:lineRule="exact"/>
        <w:ind w:firstLine="640"/>
        <w:rPr>
          <w:rFonts w:hint="eastAsia" w:ascii="仿宋_GB2312" w:hAnsi="仿宋_GB2312" w:eastAsia="仿宋_GB2312" w:cs="仿宋_GB2312"/>
          <w:b w:val="0"/>
          <w:bCs/>
          <w:sz w:val="32"/>
          <w:szCs w:val="32"/>
          <w:lang w:val="en-US" w:eastAsia="zh-CN"/>
        </w:rPr>
      </w:pPr>
      <w:r>
        <w:rPr>
          <w:rFonts w:hint="eastAsia" w:ascii="仿宋_GB2312" w:hAnsi="仿宋" w:eastAsia="仿宋_GB2312"/>
          <w:spacing w:val="-2"/>
          <w:sz w:val="32"/>
          <w:szCs w:val="32"/>
        </w:rPr>
        <w:t>部门整体支出规模、使用方向和主要内容、涉及范围等。</w:t>
      </w:r>
    </w:p>
    <w:p>
      <w:pPr>
        <w:numPr>
          <w:ilvl w:val="0"/>
          <w:numId w:val="0"/>
        </w:numPr>
        <w:shd w:val="clear" w:color="auto" w:fill="FFFFFF"/>
        <w:spacing w:line="64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kern w:val="0"/>
          <w:sz w:val="32"/>
          <w:szCs w:val="32"/>
          <w:lang w:eastAsia="zh-CN"/>
        </w:rPr>
        <w:t>2022</w:t>
      </w:r>
      <w:r>
        <w:rPr>
          <w:rFonts w:hint="eastAsia" w:ascii="仿宋_GB2312" w:hAnsi="仿宋_GB2312" w:eastAsia="仿宋_GB2312" w:cs="仿宋_GB2312"/>
          <w:kern w:val="0"/>
          <w:sz w:val="32"/>
          <w:szCs w:val="32"/>
        </w:rPr>
        <w:t>年，全年本级总收入</w:t>
      </w:r>
      <w:r>
        <w:rPr>
          <w:rFonts w:hint="eastAsia" w:ascii="仿宋_GB2312" w:hAnsi="仿宋_GB2312" w:eastAsia="仿宋_GB2312" w:cs="仿宋_GB2312"/>
          <w:kern w:val="0"/>
          <w:sz w:val="32"/>
          <w:szCs w:val="32"/>
          <w:lang w:val="en-US" w:eastAsia="zh-CN"/>
        </w:rPr>
        <w:t>117.46</w:t>
      </w:r>
      <w:r>
        <w:rPr>
          <w:rFonts w:hint="eastAsia" w:ascii="仿宋_GB2312" w:hAnsi="仿宋_GB2312" w:eastAsia="仿宋_GB2312" w:cs="仿宋_GB2312"/>
          <w:kern w:val="0"/>
          <w:sz w:val="32"/>
          <w:szCs w:val="32"/>
        </w:rPr>
        <w:t>万元，其中财政拨款</w:t>
      </w:r>
      <w:r>
        <w:rPr>
          <w:rFonts w:hint="eastAsia" w:ascii="仿宋_GB2312" w:hAnsi="仿宋_GB2312" w:eastAsia="仿宋_GB2312" w:cs="仿宋_GB2312"/>
          <w:kern w:val="0"/>
          <w:sz w:val="32"/>
          <w:szCs w:val="32"/>
          <w:lang w:val="en-US" w:eastAsia="zh-CN"/>
        </w:rPr>
        <w:t>115.33</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,其他收入2.12。</w:t>
      </w:r>
      <w:r>
        <w:rPr>
          <w:rFonts w:hint="eastAsia" w:ascii="仿宋_GB2312" w:hAnsi="仿宋_GB2312" w:eastAsia="仿宋_GB2312" w:cs="仿宋_GB2312"/>
          <w:kern w:val="0"/>
          <w:sz w:val="32"/>
          <w:szCs w:val="32"/>
        </w:rPr>
        <w:t>总支出</w:t>
      </w:r>
      <w:r>
        <w:rPr>
          <w:rFonts w:hint="eastAsia" w:ascii="仿宋_GB2312" w:hAnsi="仿宋_GB2312" w:eastAsia="仿宋_GB2312" w:cs="仿宋_GB2312"/>
          <w:kern w:val="0"/>
          <w:sz w:val="32"/>
          <w:szCs w:val="32"/>
          <w:lang w:val="en-US" w:eastAsia="zh-CN"/>
        </w:rPr>
        <w:t>117.46</w:t>
      </w:r>
      <w:r>
        <w:rPr>
          <w:rFonts w:hint="eastAsia" w:ascii="仿宋_GB2312" w:hAnsi="仿宋_GB2312" w:eastAsia="仿宋_GB2312" w:cs="仿宋_GB2312"/>
          <w:kern w:val="0"/>
          <w:sz w:val="32"/>
          <w:szCs w:val="32"/>
        </w:rPr>
        <w:t>万元，其中基本支出</w:t>
      </w:r>
      <w:r>
        <w:rPr>
          <w:rFonts w:hint="eastAsia" w:ascii="仿宋_GB2312" w:hAnsi="仿宋_GB2312" w:eastAsia="仿宋_GB2312" w:cs="仿宋_GB2312"/>
          <w:kern w:val="0"/>
          <w:sz w:val="32"/>
          <w:szCs w:val="32"/>
          <w:lang w:val="en-US" w:eastAsia="zh-CN"/>
        </w:rPr>
        <w:t>79.45</w:t>
      </w:r>
      <w:r>
        <w:rPr>
          <w:rFonts w:hint="eastAsia" w:ascii="仿宋_GB2312" w:hAnsi="仿宋_GB2312" w:eastAsia="仿宋_GB2312" w:cs="仿宋_GB2312"/>
          <w:kern w:val="0"/>
          <w:sz w:val="32"/>
          <w:szCs w:val="32"/>
        </w:rPr>
        <w:t>万元，项目支出</w:t>
      </w:r>
      <w:r>
        <w:rPr>
          <w:rFonts w:hint="eastAsia" w:ascii="仿宋_GB2312" w:hAnsi="仿宋_GB2312" w:eastAsia="仿宋_GB2312" w:cs="仿宋_GB2312"/>
          <w:kern w:val="0"/>
          <w:sz w:val="32"/>
          <w:szCs w:val="32"/>
          <w:lang w:val="en-US" w:eastAsia="zh-CN"/>
        </w:rPr>
        <w:t>38.01</w:t>
      </w:r>
      <w:r>
        <w:rPr>
          <w:rFonts w:hint="eastAsia" w:ascii="仿宋_GB2312" w:hAnsi="仿宋_GB2312" w:eastAsia="仿宋_GB2312" w:cs="仿宋_GB2312"/>
          <w:kern w:val="0"/>
          <w:sz w:val="32"/>
          <w:szCs w:val="32"/>
        </w:rPr>
        <w:t>万元。</w:t>
      </w:r>
    </w:p>
    <w:p>
      <w:pPr>
        <w:shd w:val="clear" w:color="auto" w:fill="FFFFFF"/>
        <w:spacing w:line="640" w:lineRule="exact"/>
        <w:ind w:firstLine="640"/>
        <w:rPr>
          <w:rFonts w:hint="eastAsia" w:ascii="黑体" w:hAnsi="黑体" w:eastAsia="黑体"/>
          <w:spacing w:val="-2"/>
          <w:sz w:val="32"/>
          <w:szCs w:val="32"/>
        </w:rPr>
      </w:pPr>
      <w:r>
        <w:rPr>
          <w:rFonts w:hint="eastAsia" w:ascii="黑体" w:hAnsi="黑体" w:eastAsia="黑体"/>
          <w:spacing w:val="-2"/>
          <w:sz w:val="32"/>
          <w:szCs w:val="32"/>
        </w:rPr>
        <w:t>二、部门整体支出管理及使用情况</w:t>
      </w:r>
    </w:p>
    <w:p>
      <w:pPr>
        <w:shd w:val="clear" w:color="auto" w:fill="FFFFFF"/>
        <w:spacing w:line="640" w:lineRule="exact"/>
        <w:ind w:firstLine="643"/>
        <w:rPr>
          <w:rFonts w:hint="eastAsia" w:ascii="仿宋_GB2312" w:hAnsi="仿宋_GB2312" w:eastAsia="仿宋_GB2312" w:cs="仿宋_GB2312"/>
          <w:b/>
          <w:spacing w:val="-2"/>
          <w:sz w:val="32"/>
          <w:szCs w:val="21"/>
        </w:rPr>
      </w:pPr>
      <w:r>
        <w:rPr>
          <w:rFonts w:hint="eastAsia" w:ascii="仿宋_GB2312" w:hAnsi="仿宋_GB2312" w:eastAsia="仿宋_GB2312" w:cs="仿宋_GB2312"/>
          <w:b/>
          <w:spacing w:val="-2"/>
          <w:sz w:val="32"/>
          <w:szCs w:val="32"/>
        </w:rPr>
        <w:t>（一）基本支出</w:t>
      </w:r>
    </w:p>
    <w:p>
      <w:pPr>
        <w:widowControl/>
        <w:spacing w:line="580" w:lineRule="exact"/>
        <w:ind w:firstLine="640" w:firstLineChars="200"/>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eastAsia="zh-CN"/>
        </w:rPr>
        <w:t>2022</w:t>
      </w:r>
      <w:r>
        <w:rPr>
          <w:rFonts w:hint="eastAsia" w:ascii="仿宋_GB2312" w:hAnsi="仿宋_GB2312" w:eastAsia="仿宋_GB2312" w:cs="仿宋_GB2312"/>
          <w:kern w:val="0"/>
          <w:sz w:val="32"/>
          <w:szCs w:val="32"/>
        </w:rPr>
        <w:t>年基本支出</w:t>
      </w:r>
      <w:r>
        <w:rPr>
          <w:rFonts w:hint="eastAsia" w:ascii="仿宋_GB2312" w:hAnsi="仿宋_GB2312" w:eastAsia="仿宋_GB2312" w:cs="仿宋_GB2312"/>
          <w:kern w:val="0"/>
          <w:sz w:val="32"/>
          <w:szCs w:val="32"/>
          <w:lang w:val="en-US" w:eastAsia="zh-CN"/>
        </w:rPr>
        <w:t>79.45</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，其中人员经费</w:t>
      </w:r>
      <w:r>
        <w:rPr>
          <w:rFonts w:hint="eastAsia" w:ascii="仿宋_GB2312" w:hAnsi="仿宋_GB2312" w:eastAsia="仿宋_GB2312" w:cs="仿宋_GB2312"/>
          <w:kern w:val="0"/>
          <w:sz w:val="32"/>
          <w:szCs w:val="32"/>
          <w:lang w:val="en-US" w:eastAsia="zh-CN"/>
        </w:rPr>
        <w:t>65.66</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公用经费</w:t>
      </w:r>
      <w:r>
        <w:rPr>
          <w:rFonts w:hint="eastAsia" w:ascii="仿宋_GB2312" w:hAnsi="仿宋_GB2312" w:eastAsia="仿宋_GB2312" w:cs="仿宋_GB2312"/>
          <w:kern w:val="0"/>
          <w:sz w:val="32"/>
          <w:szCs w:val="32"/>
          <w:lang w:val="en-US" w:eastAsia="zh-CN"/>
        </w:rPr>
        <w:t>13.69</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,对个人和家庭的补助0.1万元。</w:t>
      </w:r>
    </w:p>
    <w:p>
      <w:pPr>
        <w:shd w:val="clear" w:color="auto" w:fill="FFFFFF"/>
        <w:spacing w:line="640" w:lineRule="exact"/>
        <w:ind w:firstLine="643"/>
        <w:rPr>
          <w:rFonts w:hint="eastAsia" w:ascii="仿宋_GB2312" w:hAnsi="仿宋_GB2312" w:eastAsia="仿宋_GB2312" w:cs="仿宋_GB2312"/>
          <w:b/>
          <w:spacing w:val="-2"/>
          <w:sz w:val="32"/>
          <w:szCs w:val="32"/>
        </w:rPr>
      </w:pPr>
      <w:r>
        <w:rPr>
          <w:rFonts w:hint="eastAsia" w:ascii="仿宋_GB2312" w:hAnsi="仿宋_GB2312" w:eastAsia="仿宋_GB2312" w:cs="仿宋_GB2312"/>
          <w:b/>
          <w:spacing w:val="-2"/>
          <w:sz w:val="32"/>
          <w:szCs w:val="32"/>
        </w:rPr>
        <w:t>（二）专项支出</w:t>
      </w:r>
    </w:p>
    <w:p>
      <w:pPr>
        <w:widowControl/>
        <w:spacing w:line="580" w:lineRule="exact"/>
        <w:ind w:firstLine="632" w:firstLineChars="200"/>
        <w:rPr>
          <w:rFonts w:hint="eastAsia" w:ascii="仿宋_GB2312" w:hAnsi="仿宋_GB2312" w:eastAsia="仿宋_GB2312" w:cs="仿宋_GB2312"/>
          <w:b w:val="0"/>
          <w:bCs/>
          <w:sz w:val="32"/>
          <w:szCs w:val="32"/>
          <w:lang w:val="en-US" w:eastAsia="zh-CN"/>
        </w:rPr>
      </w:pPr>
      <w:r>
        <w:rPr>
          <w:rFonts w:hint="eastAsia" w:ascii="仿宋_GB2312" w:hAnsi="仿宋" w:eastAsia="仿宋_GB2312"/>
          <w:spacing w:val="-2"/>
          <w:sz w:val="32"/>
          <w:szCs w:val="32"/>
          <w:lang w:val="en-US" w:eastAsia="zh-CN"/>
        </w:rPr>
        <w:t>1</w:t>
      </w:r>
      <w:r>
        <w:rPr>
          <w:rFonts w:hint="eastAsia" w:ascii="仿宋_GB2312" w:hAnsi="仿宋" w:eastAsia="仿宋_GB2312"/>
          <w:spacing w:val="-2"/>
          <w:sz w:val="32"/>
          <w:szCs w:val="32"/>
        </w:rPr>
        <w:t>、专项资金实际使用情况分析。</w:t>
      </w:r>
      <w:r>
        <w:rPr>
          <w:rFonts w:hint="eastAsia" w:ascii="仿宋_GB2312" w:eastAsia="仿宋_GB2312"/>
          <w:sz w:val="32"/>
          <w:szCs w:val="32"/>
          <w:lang w:eastAsia="zh-CN"/>
        </w:rPr>
        <w:t>2022</w:t>
      </w:r>
      <w:r>
        <w:rPr>
          <w:rFonts w:hint="eastAsia" w:ascii="仿宋_GB2312" w:eastAsia="仿宋_GB2312"/>
          <w:sz w:val="32"/>
          <w:szCs w:val="32"/>
        </w:rPr>
        <w:t>年我单位项目支出共</w:t>
      </w:r>
      <w:r>
        <w:rPr>
          <w:rFonts w:hint="eastAsia" w:ascii="仿宋_GB2312" w:eastAsia="仿宋_GB2312"/>
          <w:sz w:val="32"/>
          <w:szCs w:val="32"/>
          <w:lang w:val="en-US" w:eastAsia="zh-CN"/>
        </w:rPr>
        <w:t>38.01万元，使用情况主要用于</w:t>
      </w:r>
      <w:r>
        <w:rPr>
          <w:rFonts w:hint="eastAsia" w:ascii="仿宋_GB2312" w:hAnsi="仿宋_GB2312" w:eastAsia="仿宋_GB2312" w:cs="仿宋_GB2312"/>
          <w:b w:val="0"/>
          <w:bCs/>
          <w:sz w:val="32"/>
          <w:szCs w:val="32"/>
          <w:lang w:val="en-US" w:eastAsia="zh-CN"/>
        </w:rPr>
        <w:t xml:space="preserve">开展召开溆浦县庆祝中国共产主义青年团成立100周年“五四”座谈会1.13万元；开展“情满旅途.暖冬行动”春运志愿服务活动5.13万元，2021年青少年发展活动经费31.75万元。         </w:t>
      </w:r>
    </w:p>
    <w:p>
      <w:pPr>
        <w:widowControl/>
        <w:spacing w:line="580" w:lineRule="exact"/>
        <w:ind w:firstLine="632" w:firstLineChars="200"/>
        <w:rPr>
          <w:rFonts w:hint="eastAsia" w:ascii="仿宋_GB2312" w:hAnsi="仿宋_GB2312" w:eastAsia="仿宋_GB2312" w:cs="仿宋_GB2312"/>
          <w:color w:val="auto"/>
          <w:sz w:val="32"/>
          <w:szCs w:val="32"/>
          <w:shd w:val="clear" w:color="auto" w:fill="FFFFFF"/>
        </w:rPr>
      </w:pPr>
      <w:r>
        <w:rPr>
          <w:rFonts w:hint="eastAsia" w:ascii="仿宋_GB2312" w:hAnsi="仿宋" w:eastAsia="仿宋_GB2312"/>
          <w:spacing w:val="-2"/>
          <w:sz w:val="32"/>
          <w:szCs w:val="32"/>
          <w:lang w:val="en-US" w:eastAsia="zh-CN"/>
        </w:rPr>
        <w:t>2</w:t>
      </w:r>
      <w:r>
        <w:rPr>
          <w:rFonts w:hint="eastAsia" w:ascii="仿宋_GB2312" w:hAnsi="仿宋" w:eastAsia="仿宋_GB2312"/>
          <w:spacing w:val="-2"/>
          <w:sz w:val="32"/>
          <w:szCs w:val="32"/>
        </w:rPr>
        <w:t>、专项资金管理情况分析。</w:t>
      </w:r>
      <w:r>
        <w:rPr>
          <w:rFonts w:hint="eastAsia" w:ascii="仿宋_GB2312" w:hAnsi="仿宋_GB2312" w:eastAsia="仿宋_GB2312" w:cs="仿宋_GB2312"/>
          <w:color w:val="auto"/>
          <w:sz w:val="32"/>
          <w:szCs w:val="32"/>
          <w:shd w:val="clear" w:color="auto" w:fill="FFFFFF"/>
        </w:rPr>
        <w:t>我单位根据实际，成立了财务管理工作领导小组，制定了一系列的财务管理制度，全部资金由县财政统一管理。 我单位在资金使用上一直按照国家财经法规和本单位财务管理制度规定以及有关专项资金管理办法的规定收支，资金拨付有完整的审批程序和手续，按照财经制度的有关要求，做到专款专用，专人保管，保证资金使用的合规性。资金使用无截留、挤占、挪用、虚列支出等情况。为加强我单位预算绩效管理，不断提高财政资金配置和使用效益，我单位调整了预算绩效管理自评领导小组，由书记</w:t>
      </w:r>
      <w:r>
        <w:rPr>
          <w:rFonts w:hint="eastAsia" w:ascii="仿宋_GB2312" w:hAnsi="仿宋_GB2312" w:eastAsia="仿宋_GB2312" w:cs="仿宋_GB2312"/>
          <w:color w:val="auto"/>
          <w:sz w:val="32"/>
          <w:szCs w:val="32"/>
          <w:shd w:val="clear" w:color="auto" w:fill="FFFFFF"/>
          <w:lang w:eastAsia="zh-CN"/>
        </w:rPr>
        <w:t>杨立志</w:t>
      </w:r>
      <w:r>
        <w:rPr>
          <w:rFonts w:hint="eastAsia" w:ascii="仿宋_GB2312" w:hAnsi="仿宋_GB2312" w:eastAsia="仿宋_GB2312" w:cs="仿宋_GB2312"/>
          <w:color w:val="auto"/>
          <w:sz w:val="32"/>
          <w:szCs w:val="32"/>
          <w:shd w:val="clear" w:color="auto" w:fill="FFFFFF"/>
        </w:rPr>
        <w:t>任组长，分管财务副书记</w:t>
      </w:r>
      <w:r>
        <w:rPr>
          <w:rFonts w:hint="eastAsia" w:ascii="仿宋_GB2312" w:hAnsi="仿宋_GB2312" w:eastAsia="仿宋_GB2312" w:cs="仿宋_GB2312"/>
          <w:color w:val="auto"/>
          <w:sz w:val="32"/>
          <w:szCs w:val="32"/>
          <w:shd w:val="clear" w:color="auto" w:fill="FFFFFF"/>
          <w:lang w:eastAsia="zh-CN"/>
        </w:rPr>
        <w:t>张淑娴</w:t>
      </w:r>
      <w:r>
        <w:rPr>
          <w:rFonts w:hint="eastAsia" w:ascii="仿宋_GB2312" w:hAnsi="仿宋_GB2312" w:eastAsia="仿宋_GB2312" w:cs="仿宋_GB2312"/>
          <w:color w:val="auto"/>
          <w:sz w:val="32"/>
          <w:szCs w:val="32"/>
          <w:shd w:val="clear" w:color="auto" w:fill="FFFFFF"/>
        </w:rPr>
        <w:t>任副组长，办公室主任为成员</w:t>
      </w:r>
      <w:r>
        <w:rPr>
          <w:rFonts w:hint="eastAsia" w:ascii="仿宋_GB2312" w:hAnsi="仿宋_GB2312" w:eastAsia="仿宋_GB2312" w:cs="仿宋_GB2312"/>
          <w:color w:val="auto"/>
          <w:sz w:val="32"/>
          <w:szCs w:val="32"/>
          <w:shd w:val="clear" w:color="auto" w:fill="FFFFFF"/>
          <w:lang w:eastAsia="zh-CN"/>
        </w:rPr>
        <w:t>，</w:t>
      </w:r>
      <w:bookmarkStart w:id="0" w:name="_GoBack"/>
      <w:bookmarkEnd w:id="0"/>
      <w:r>
        <w:rPr>
          <w:rFonts w:hint="eastAsia" w:ascii="仿宋_GB2312" w:hAnsi="仿宋_GB2312" w:eastAsia="仿宋_GB2312" w:cs="仿宋_GB2312"/>
          <w:color w:val="auto"/>
          <w:sz w:val="32"/>
          <w:szCs w:val="32"/>
          <w:shd w:val="clear" w:color="auto" w:fill="FFFFFF"/>
        </w:rPr>
        <w:t xml:space="preserve">专门负责本次绩效自评工作。   </w:t>
      </w:r>
    </w:p>
    <w:p>
      <w:pPr>
        <w:shd w:val="clear" w:color="auto" w:fill="FFFFFF"/>
        <w:spacing w:line="640" w:lineRule="exact"/>
        <w:ind w:firstLine="640"/>
        <w:rPr>
          <w:rFonts w:hint="eastAsia" w:ascii="黑体" w:hAnsi="黑体" w:eastAsia="黑体"/>
          <w:spacing w:val="-2"/>
          <w:sz w:val="32"/>
          <w:szCs w:val="32"/>
        </w:rPr>
      </w:pPr>
      <w:r>
        <w:rPr>
          <w:rFonts w:hint="eastAsia" w:ascii="黑体" w:hAnsi="黑体" w:eastAsia="黑体"/>
          <w:spacing w:val="-2"/>
          <w:sz w:val="32"/>
          <w:szCs w:val="32"/>
        </w:rPr>
        <w:t>三、部门专项组织实施情况</w:t>
      </w:r>
    </w:p>
    <w:p>
      <w:pPr>
        <w:widowControl/>
        <w:spacing w:line="580" w:lineRule="exact"/>
        <w:ind w:firstLine="632" w:firstLineChars="200"/>
        <w:rPr>
          <w:rFonts w:hint="eastAsia" w:ascii="仿宋_GB2312" w:hAnsi="仿宋_GB2312" w:eastAsia="仿宋_GB2312" w:cs="仿宋_GB2312"/>
          <w:kern w:val="0"/>
          <w:sz w:val="32"/>
          <w:szCs w:val="32"/>
        </w:rPr>
      </w:pPr>
      <w:r>
        <w:rPr>
          <w:rFonts w:hint="eastAsia" w:ascii="仿宋_GB2312" w:hAnsi="仿宋" w:eastAsia="仿宋_GB2312"/>
          <w:spacing w:val="-2"/>
          <w:sz w:val="32"/>
          <w:szCs w:val="32"/>
        </w:rPr>
        <w:t>（一）专项组织情况。</w:t>
      </w:r>
      <w:r>
        <w:rPr>
          <w:rFonts w:hint="eastAsia" w:ascii="仿宋_GB2312" w:hAnsi="仿宋_GB2312" w:eastAsia="仿宋_GB2312" w:cs="仿宋_GB2312"/>
          <w:kern w:val="0"/>
          <w:sz w:val="32"/>
          <w:szCs w:val="32"/>
        </w:rPr>
        <w:t>一是完善制度，规范管理：对单位行政运行、内部控制、会议、差旅、培训等按政策新规进行细化；二是严格执行预算，控制各项经费支出；三是完善监管，建立长效机制。</w:t>
      </w:r>
    </w:p>
    <w:p>
      <w:pPr>
        <w:widowControl/>
        <w:spacing w:line="580" w:lineRule="exact"/>
        <w:ind w:firstLine="632" w:firstLineChars="200"/>
        <w:rPr>
          <w:rFonts w:hint="eastAsia" w:ascii="仿宋_GB2312" w:hAnsi="仿宋_GB2312" w:eastAsia="仿宋_GB2312" w:cs="仿宋_GB2312"/>
          <w:kern w:val="0"/>
          <w:sz w:val="32"/>
          <w:szCs w:val="32"/>
        </w:rPr>
      </w:pPr>
      <w:r>
        <w:rPr>
          <w:rFonts w:hint="eastAsia" w:ascii="仿宋_GB2312" w:hAnsi="仿宋" w:eastAsia="仿宋_GB2312"/>
          <w:spacing w:val="-2"/>
          <w:sz w:val="32"/>
          <w:szCs w:val="32"/>
        </w:rPr>
        <w:t>（二）专项管理情况</w:t>
      </w:r>
      <w:r>
        <w:rPr>
          <w:rFonts w:hint="eastAsia" w:ascii="仿宋_GB2312" w:hAnsi="仿宋" w:eastAsia="仿宋_GB2312"/>
          <w:spacing w:val="-2"/>
          <w:sz w:val="32"/>
          <w:szCs w:val="32"/>
          <w:lang w:eastAsia="zh-CN"/>
        </w:rPr>
        <w:t>。</w:t>
      </w:r>
      <w:r>
        <w:rPr>
          <w:rFonts w:hint="eastAsia" w:ascii="仿宋_GB2312" w:hAnsi="仿宋_GB2312" w:eastAsia="仿宋_GB2312" w:cs="仿宋_GB2312"/>
          <w:b w:val="0"/>
          <w:bCs/>
          <w:kern w:val="0"/>
          <w:sz w:val="32"/>
          <w:szCs w:val="32"/>
          <w:lang w:eastAsia="zh-CN"/>
        </w:rPr>
        <w:t>1、</w:t>
      </w:r>
      <w:r>
        <w:rPr>
          <w:rFonts w:hint="eastAsia" w:ascii="仿宋_GB2312" w:hAnsi="仿宋_GB2312" w:eastAsia="仿宋_GB2312" w:cs="仿宋_GB2312"/>
          <w:b w:val="0"/>
          <w:bCs/>
          <w:kern w:val="0"/>
          <w:sz w:val="32"/>
          <w:szCs w:val="32"/>
        </w:rPr>
        <w:t>健全管理制度。</w:t>
      </w:r>
      <w:r>
        <w:rPr>
          <w:rFonts w:hint="eastAsia" w:ascii="仿宋_GB2312" w:hAnsi="仿宋_GB2312" w:eastAsia="仿宋_GB2312" w:cs="仿宋_GB2312"/>
          <w:kern w:val="0"/>
          <w:sz w:val="32"/>
          <w:szCs w:val="32"/>
        </w:rPr>
        <w:t>一切支出按照国家财经法规和财务管理制度规定以及专项资金管理办法的规定办理，资金拨付有完善的审批程序和手续，支出符合部门预算批复的用途，资金使用无截留、挤占挪用、虚列支出等情况。</w:t>
      </w:r>
      <w:r>
        <w:rPr>
          <w:rFonts w:hint="eastAsia" w:ascii="仿宋_GB2312" w:hAnsi="仿宋_GB2312" w:eastAsia="仿宋_GB2312" w:cs="仿宋_GB2312"/>
          <w:b w:val="0"/>
          <w:bCs/>
          <w:kern w:val="0"/>
          <w:sz w:val="32"/>
          <w:szCs w:val="32"/>
          <w:lang w:eastAsia="zh-CN"/>
        </w:rPr>
        <w:t>2、</w:t>
      </w:r>
      <w:r>
        <w:rPr>
          <w:rFonts w:hint="eastAsia" w:ascii="仿宋_GB2312" w:hAnsi="仿宋_GB2312" w:eastAsia="仿宋_GB2312" w:cs="仿宋_GB2312"/>
          <w:b w:val="0"/>
          <w:bCs/>
          <w:kern w:val="0"/>
          <w:sz w:val="32"/>
          <w:szCs w:val="32"/>
        </w:rPr>
        <w:t>实行厉行节约</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2022</w:t>
      </w:r>
      <w:r>
        <w:rPr>
          <w:rFonts w:hint="eastAsia" w:ascii="仿宋_GB2312" w:hAnsi="仿宋_GB2312" w:eastAsia="仿宋_GB2312" w:cs="仿宋_GB2312"/>
          <w:kern w:val="0"/>
          <w:sz w:val="32"/>
          <w:szCs w:val="32"/>
        </w:rPr>
        <w:t>年，坚持“依章办事、服务大局、围绕中心、突出重点、求真务实”深刻领会中央“八项规定”和“六条款令”，压缩非生产开支，进一步规范会计核算行为，加强预算管理和执行力度，确保资金安全，有效运行，积极服务本单位发展。一是严格控制“三公经费”管理，无因公出国，无公车，严格公务接待，规范接待标准。二是厉行节约，提高思想认识，树立节约观念，倡导网络办公，促进办公低碳化。</w:t>
      </w:r>
      <w:r>
        <w:rPr>
          <w:rFonts w:hint="eastAsia" w:ascii="仿宋_GB2312" w:hAnsi="仿宋_GB2312" w:eastAsia="仿宋_GB2312" w:cs="仿宋_GB2312"/>
          <w:b w:val="0"/>
          <w:bCs/>
          <w:kern w:val="0"/>
          <w:sz w:val="32"/>
          <w:szCs w:val="32"/>
          <w:lang w:eastAsia="zh-CN"/>
        </w:rPr>
        <w:t>3、</w:t>
      </w:r>
      <w:r>
        <w:rPr>
          <w:rFonts w:hint="eastAsia" w:ascii="仿宋_GB2312" w:hAnsi="仿宋_GB2312" w:eastAsia="仿宋_GB2312" w:cs="仿宋_GB2312"/>
          <w:b w:val="0"/>
          <w:bCs/>
          <w:kern w:val="0"/>
          <w:sz w:val="32"/>
          <w:szCs w:val="32"/>
        </w:rPr>
        <w:t>公开预决算信息：</w:t>
      </w:r>
      <w:r>
        <w:rPr>
          <w:rFonts w:hint="eastAsia" w:ascii="仿宋_GB2312" w:hAnsi="仿宋_GB2312" w:eastAsia="仿宋_GB2312" w:cs="仿宋_GB2312"/>
          <w:kern w:val="0"/>
          <w:sz w:val="32"/>
          <w:szCs w:val="32"/>
        </w:rPr>
        <w:t>按照规定的内容、时间公开预算信息，做到基础数据信息和会计资料真实、完整、准确。</w:t>
      </w:r>
    </w:p>
    <w:p>
      <w:pPr>
        <w:shd w:val="clear" w:color="auto" w:fill="FFFFFF"/>
        <w:spacing w:line="640" w:lineRule="exact"/>
        <w:ind w:firstLine="640"/>
        <w:rPr>
          <w:rFonts w:hint="eastAsia" w:ascii="黑体" w:hAnsi="黑体" w:eastAsia="黑体"/>
          <w:spacing w:val="-2"/>
          <w:sz w:val="32"/>
          <w:szCs w:val="32"/>
        </w:rPr>
      </w:pPr>
      <w:r>
        <w:rPr>
          <w:rFonts w:hint="eastAsia" w:ascii="黑体" w:hAnsi="黑体" w:eastAsia="黑体"/>
          <w:spacing w:val="-2"/>
          <w:sz w:val="32"/>
          <w:szCs w:val="32"/>
        </w:rPr>
        <w:t>四、资产管理情况</w:t>
      </w:r>
    </w:p>
    <w:p>
      <w:pPr>
        <w:spacing w:line="58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制定了详细的资产管理办法，对资产申购、采购、分配、保管、处置以及责任赔偿等细则进行了规定，资产配置按照“合法依规、保障需要、节约开支、从严控制、调剂优先、共享共用”的原则，严格执行溆财资【2020】29号《溆浦县国有资产配置管理办法》有关规定，凡是符合政府采购要求的资产及物品均按政府采购程序进行采购。同时，加强资产的管理，定期对固定资产进行清理，明确相应的责任人，办公室明确专人负责单位固定资产管理。</w:t>
      </w:r>
    </w:p>
    <w:p>
      <w:pPr>
        <w:numPr>
          <w:ilvl w:val="0"/>
          <w:numId w:val="2"/>
        </w:numPr>
        <w:shd w:val="clear" w:color="auto" w:fill="FFFFFF"/>
        <w:spacing w:line="640" w:lineRule="exact"/>
        <w:ind w:firstLine="640"/>
        <w:rPr>
          <w:rFonts w:hint="eastAsia" w:ascii="黑体" w:hAnsi="黑体" w:eastAsia="黑体"/>
          <w:spacing w:val="-2"/>
          <w:sz w:val="32"/>
          <w:szCs w:val="32"/>
        </w:rPr>
      </w:pPr>
      <w:r>
        <w:rPr>
          <w:rFonts w:hint="eastAsia" w:ascii="黑体" w:hAnsi="黑体" w:eastAsia="黑体"/>
          <w:spacing w:val="-2"/>
          <w:sz w:val="32"/>
          <w:szCs w:val="32"/>
        </w:rPr>
        <w:t>部门整体支出绩效情况</w:t>
      </w:r>
    </w:p>
    <w:p>
      <w:pPr>
        <w:pStyle w:val="3"/>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一是开展“情满旅途·暖冬行动”春运志愿服务活动。</w:t>
      </w:r>
      <w:r>
        <w:rPr>
          <w:rFonts w:hint="default" w:ascii="仿宋_GB2312" w:hAnsi="仿宋_GB2312" w:eastAsia="仿宋_GB2312" w:cs="仿宋_GB2312"/>
          <w:color w:val="auto"/>
          <w:sz w:val="32"/>
          <w:szCs w:val="32"/>
          <w:lang w:val="en-US" w:eastAsia="zh-CN"/>
        </w:rPr>
        <w:t>以</w:t>
      </w:r>
      <w:r>
        <w:rPr>
          <w:rFonts w:hint="eastAsia" w:ascii="仿宋_GB2312" w:hAnsi="仿宋_GB2312" w:eastAsia="仿宋_GB2312" w:cs="仿宋_GB2312"/>
          <w:color w:val="auto"/>
          <w:sz w:val="32"/>
          <w:szCs w:val="32"/>
          <w:lang w:val="en-US" w:eastAsia="zh-CN"/>
        </w:rPr>
        <w:t>全县</w:t>
      </w:r>
      <w:r>
        <w:rPr>
          <w:rFonts w:hint="default" w:ascii="仿宋_GB2312" w:hAnsi="仿宋_GB2312" w:eastAsia="仿宋_GB2312" w:cs="仿宋_GB2312"/>
          <w:color w:val="auto"/>
          <w:sz w:val="32"/>
          <w:szCs w:val="32"/>
          <w:lang w:val="en-US" w:eastAsia="zh-CN"/>
        </w:rPr>
        <w:t>交通运输枢纽，包括火车站、汽车客运站、车流人流大聚焦路段</w:t>
      </w:r>
      <w:r>
        <w:rPr>
          <w:rFonts w:hint="eastAsia" w:ascii="仿宋_GB2312" w:hAnsi="仿宋_GB2312" w:eastAsia="仿宋_GB2312" w:cs="仿宋_GB2312"/>
          <w:color w:val="auto"/>
          <w:sz w:val="32"/>
          <w:szCs w:val="32"/>
          <w:lang w:val="en-US" w:eastAsia="zh-CN"/>
        </w:rPr>
        <w:t>、</w:t>
      </w:r>
      <w:r>
        <w:rPr>
          <w:rFonts w:hint="default" w:ascii="仿宋_GB2312" w:hAnsi="仿宋_GB2312" w:eastAsia="仿宋_GB2312" w:cs="仿宋_GB2312"/>
          <w:color w:val="auto"/>
          <w:sz w:val="32"/>
          <w:szCs w:val="32"/>
          <w:lang w:val="en-US" w:eastAsia="zh-CN"/>
        </w:rPr>
        <w:t>高速公路收费站出口以及车流量大的拥堵路段、事故多发路段为重点</w:t>
      </w:r>
      <w:r>
        <w:rPr>
          <w:rFonts w:hint="eastAsia" w:ascii="仿宋_GB2312" w:hAnsi="仿宋_GB2312" w:eastAsia="仿宋_GB2312" w:cs="仿宋_GB2312"/>
          <w:color w:val="auto"/>
          <w:sz w:val="32"/>
          <w:szCs w:val="32"/>
          <w:lang w:val="en-US" w:eastAsia="zh-CN"/>
        </w:rPr>
        <w:t>开展春运志愿服务活动，</w:t>
      </w:r>
      <w:r>
        <w:rPr>
          <w:rFonts w:hint="eastAsia" w:ascii="仿宋_GB2312" w:hAnsi="仿宋_GB2312" w:eastAsia="仿宋_GB2312" w:cs="仿宋_GB2312"/>
          <w:i w:val="0"/>
          <w:iCs w:val="0"/>
          <w:caps w:val="0"/>
          <w:color w:val="auto"/>
          <w:spacing w:val="8"/>
          <w:sz w:val="32"/>
          <w:szCs w:val="32"/>
          <w:shd w:val="clear" w:fill="FFFFFF"/>
          <w:lang w:val="en-US" w:eastAsia="zh-CN"/>
        </w:rPr>
        <w:t>志愿服务为期28天，</w:t>
      </w:r>
      <w:r>
        <w:rPr>
          <w:rFonts w:hint="eastAsia" w:ascii="仿宋_GB2312" w:hAnsi="仿宋_GB2312" w:eastAsia="仿宋_GB2312" w:cs="仿宋_GB2312"/>
          <w:color w:val="auto"/>
          <w:sz w:val="32"/>
          <w:szCs w:val="32"/>
          <w:lang w:val="en-US" w:eastAsia="zh-CN"/>
        </w:rPr>
        <w:t>切实为广大司乘人员提供“安全、健康、畅通、温馨”的出行服务，打造“人民满意交通”志愿服务品牌</w:t>
      </w:r>
      <w:r>
        <w:rPr>
          <w:rFonts w:hint="eastAsia" w:ascii="仿宋_GB2312" w:hAnsi="仿宋_GB2312" w:eastAsia="仿宋_GB2312" w:cs="仿宋_GB2312"/>
          <w:i w:val="0"/>
          <w:iCs w:val="0"/>
          <w:caps w:val="0"/>
          <w:color w:val="auto"/>
          <w:spacing w:val="8"/>
          <w:sz w:val="32"/>
          <w:szCs w:val="32"/>
          <w:shd w:val="clear" w:fill="FFFFFF"/>
          <w:lang w:val="en-US" w:eastAsia="zh-CN"/>
        </w:rPr>
        <w:t>开展志愿服务。此次活动共有200余名青年志愿者积极参与其中，累计服务时长4480小时，服务超5万人次，让广大返乡人员感受到了来自家乡的暖心服务</w:t>
      </w:r>
      <w:r>
        <w:rPr>
          <w:rFonts w:hint="eastAsia" w:ascii="仿宋_GB2312" w:hAnsi="仿宋_GB2312" w:eastAsia="仿宋_GB2312" w:cs="仿宋_GB2312"/>
          <w:i w:val="0"/>
          <w:iCs w:val="0"/>
          <w:caps w:val="0"/>
          <w:color w:val="auto"/>
          <w:spacing w:val="8"/>
          <w:sz w:val="32"/>
          <w:szCs w:val="32"/>
          <w:shd w:val="clear" w:fill="FFFFFF"/>
          <w:lang w:eastAsia="zh-CN"/>
        </w:rPr>
        <w:t>。</w:t>
      </w:r>
      <w:r>
        <w:rPr>
          <w:rFonts w:hint="eastAsia" w:ascii="仿宋_GB2312" w:hAnsi="仿宋_GB2312" w:eastAsia="仿宋_GB2312" w:cs="仿宋_GB2312"/>
          <w:b/>
          <w:bCs/>
          <w:color w:val="auto"/>
          <w:sz w:val="32"/>
          <w:szCs w:val="32"/>
          <w:lang w:val="en-US" w:eastAsia="zh-CN"/>
        </w:rPr>
        <w:t>二是在助力疫情防控中书写青春担当。</w:t>
      </w:r>
      <w:r>
        <w:rPr>
          <w:rFonts w:hint="eastAsia" w:ascii="仿宋_GB2312" w:hAnsi="仿宋_GB2312" w:eastAsia="仿宋_GB2312" w:cs="仿宋_GB2312"/>
          <w:i w:val="0"/>
          <w:iCs w:val="0"/>
          <w:caps w:val="0"/>
          <w:color w:val="auto"/>
          <w:spacing w:val="8"/>
          <w:sz w:val="32"/>
          <w:szCs w:val="32"/>
          <w:shd w:val="clear" w:fill="FFFFFF"/>
          <w:lang w:val="en-US" w:eastAsia="zh-CN"/>
        </w:rPr>
        <w:t>团县委联合溆浦县义工联合会、同心公益等多家公益给支援怀化医疗队送上暖心物资,为黄茅园镇两个疫情防控卡点送物资；组织青年志愿者在医院、超市等人流量大的场所协助医务人员登记和检查工作。</w:t>
      </w:r>
      <w:r>
        <w:rPr>
          <w:rFonts w:hint="default" w:ascii="仿宋_GB2312" w:hAnsi="仿宋" w:eastAsia="仿宋_GB2312" w:cstheme="minorBidi"/>
          <w:color w:val="auto"/>
          <w:kern w:val="2"/>
          <w:sz w:val="32"/>
          <w:szCs w:val="32"/>
          <w:lang w:val="en-US" w:eastAsia="zh-CN" w:bidi="ar-SA"/>
        </w:rPr>
        <w:t>组织志愿者穿起“红背心”，戴起“红袖章”，开展志愿者街面宣传劝导派发口罩行动，劝导行人遵守公共场合防疫规定。</w:t>
      </w:r>
      <w:r>
        <w:rPr>
          <w:rFonts w:hint="eastAsia" w:ascii="仿宋_GB2312" w:hAnsi="仿宋" w:eastAsia="仿宋_GB2312" w:cstheme="minorBidi"/>
          <w:color w:val="auto"/>
          <w:kern w:val="2"/>
          <w:sz w:val="32"/>
          <w:szCs w:val="32"/>
          <w:lang w:val="en-US" w:eastAsia="zh-CN" w:bidi="ar-SA"/>
        </w:rPr>
        <w:t>参与志愿者达400人次，共发放宣传资料10000余份，志愿时长达160小时。</w:t>
      </w:r>
      <w:r>
        <w:rPr>
          <w:rFonts w:hint="eastAsia" w:ascii="仿宋_GB2312" w:hAnsi="仿宋_GB2312" w:eastAsia="仿宋_GB2312" w:cs="仿宋_GB2312"/>
          <w:b/>
          <w:bCs/>
          <w:color w:val="auto"/>
          <w:sz w:val="32"/>
          <w:szCs w:val="32"/>
          <w:lang w:val="en-US" w:eastAsia="zh-CN"/>
        </w:rPr>
        <w:t>三是在基层治理中积极作为。</w:t>
      </w:r>
      <w:r>
        <w:rPr>
          <w:rFonts w:hint="eastAsia" w:ascii="仿宋_GB2312" w:hAnsi="仿宋_GB2312" w:eastAsia="仿宋_GB2312" w:cs="仿宋_GB2312"/>
          <w:b w:val="0"/>
          <w:bCs w:val="0"/>
          <w:color w:val="auto"/>
          <w:sz w:val="32"/>
          <w:szCs w:val="32"/>
          <w:lang w:val="en-US" w:eastAsia="zh-CN"/>
        </w:rPr>
        <w:t>加强农村人居环境整治志愿服务队伍建设。</w:t>
      </w:r>
      <w:r>
        <w:rPr>
          <w:rFonts w:hint="eastAsia" w:ascii="仿宋_GB2312" w:hAnsi="仿宋_GB2312" w:eastAsia="仿宋_GB2312" w:cs="仿宋_GB2312"/>
          <w:color w:val="auto"/>
          <w:sz w:val="32"/>
          <w:szCs w:val="32"/>
          <w:lang w:val="en-US" w:eastAsia="zh-CN"/>
        </w:rPr>
        <w:t>“村居公益人”是助力乡村振兴的一项志愿活动项目，在乡村开展环境整治、扶弱济困、治安巡防等志愿服务活动，推进青年志愿服务项目化、品牌化、常态化开展。2022年6月，溆浦遭遇两轮洪灾，团省委、省民政厅联系张艺兴工作室向溆浦捐赠25万元物资，物资抵达溆浦后，共青团溆浦县委员会、县民政局、同心公益志愿服务中心及湖南乐创公益慈善发展中心志愿者将700套救灾应急物资逐一分装、打包，所有物资将运往均坪、舒溶溪、观音阁等7个乡镇受灾严重的区域。</w:t>
      </w:r>
    </w:p>
    <w:p>
      <w:pPr>
        <w:shd w:val="clear" w:color="auto" w:fill="FFFFFF"/>
        <w:spacing w:line="640" w:lineRule="exact"/>
        <w:ind w:firstLine="640"/>
        <w:rPr>
          <w:rFonts w:hint="eastAsia" w:ascii="黑体" w:hAnsi="黑体" w:eastAsia="黑体"/>
          <w:spacing w:val="-2"/>
          <w:sz w:val="32"/>
          <w:szCs w:val="32"/>
        </w:rPr>
      </w:pPr>
      <w:r>
        <w:rPr>
          <w:rFonts w:hint="eastAsia" w:ascii="黑体" w:hAnsi="黑体" w:eastAsia="黑体"/>
          <w:spacing w:val="-2"/>
          <w:sz w:val="32"/>
          <w:szCs w:val="32"/>
        </w:rPr>
        <w:t>六、存在的主要问题</w:t>
      </w:r>
    </w:p>
    <w:p>
      <w:pPr>
        <w:shd w:val="clear" w:color="auto" w:fill="FFFFFF"/>
        <w:spacing w:line="640" w:lineRule="exact"/>
        <w:ind w:firstLine="640"/>
        <w:rPr>
          <w:rFonts w:hint="eastAsia" w:ascii="仿宋_GB2312" w:hAnsi="仿宋_GB2312" w:eastAsia="仿宋_GB2312" w:cs="仿宋_GB2312"/>
          <w:b w:val="0"/>
          <w:bCs/>
          <w:kern w:val="0"/>
          <w:sz w:val="32"/>
          <w:szCs w:val="32"/>
          <w:lang w:eastAsia="zh-CN"/>
        </w:rPr>
      </w:pPr>
      <w:r>
        <w:rPr>
          <w:rFonts w:hint="eastAsia" w:ascii="仿宋_GB2312" w:hAnsi="仿宋_GB2312" w:eastAsia="仿宋_GB2312" w:cs="仿宋_GB2312"/>
          <w:b w:val="0"/>
          <w:bCs/>
          <w:kern w:val="0"/>
          <w:sz w:val="32"/>
          <w:szCs w:val="32"/>
        </w:rPr>
        <w:t>部门公用经费、专项工作经费缺口大，财政预算严重不足。主要是我</w:t>
      </w:r>
      <w:r>
        <w:rPr>
          <w:rFonts w:hint="eastAsia" w:ascii="仿宋_GB2312" w:hAnsi="仿宋_GB2312" w:eastAsia="仿宋_GB2312" w:cs="仿宋_GB2312"/>
          <w:b w:val="0"/>
          <w:bCs/>
          <w:kern w:val="0"/>
          <w:sz w:val="32"/>
          <w:szCs w:val="32"/>
          <w:lang w:eastAsia="zh-CN"/>
        </w:rPr>
        <w:t>单位</w:t>
      </w:r>
      <w:r>
        <w:rPr>
          <w:rFonts w:hint="eastAsia" w:ascii="仿宋_GB2312" w:hAnsi="仿宋_GB2312" w:eastAsia="仿宋_GB2312" w:cs="仿宋_GB2312"/>
          <w:b w:val="0"/>
          <w:bCs/>
          <w:kern w:val="0"/>
          <w:sz w:val="32"/>
          <w:szCs w:val="32"/>
        </w:rPr>
        <w:t>没有收入来源，但工作任务仍然繁重</w:t>
      </w:r>
      <w:r>
        <w:rPr>
          <w:rFonts w:hint="eastAsia" w:ascii="仿宋_GB2312" w:hAnsi="仿宋_GB2312" w:eastAsia="仿宋_GB2312" w:cs="仿宋_GB2312"/>
          <w:b w:val="0"/>
          <w:bCs/>
          <w:kern w:val="0"/>
          <w:sz w:val="32"/>
          <w:szCs w:val="32"/>
          <w:lang w:eastAsia="zh-CN"/>
        </w:rPr>
        <w:t>。</w:t>
      </w:r>
    </w:p>
    <w:p>
      <w:pPr>
        <w:shd w:val="clear" w:color="auto" w:fill="FFFFFF"/>
        <w:spacing w:line="640" w:lineRule="exact"/>
        <w:ind w:firstLine="640"/>
        <w:rPr>
          <w:rFonts w:hint="eastAsia" w:ascii="黑体" w:hAnsi="黑体" w:eastAsia="黑体"/>
          <w:spacing w:val="-2"/>
          <w:sz w:val="32"/>
          <w:szCs w:val="32"/>
        </w:rPr>
      </w:pPr>
      <w:r>
        <w:rPr>
          <w:rFonts w:hint="eastAsia" w:ascii="黑体" w:hAnsi="黑体" w:eastAsia="黑体"/>
          <w:spacing w:val="-2"/>
          <w:sz w:val="32"/>
          <w:szCs w:val="32"/>
        </w:rPr>
        <w:t>七、改进措施和有关建议</w:t>
      </w:r>
    </w:p>
    <w:p>
      <w:pPr>
        <w:spacing w:line="58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1、进一步加强财务管理，严把支出审核关。</w:t>
      </w:r>
    </w:p>
    <w:p>
      <w:pPr>
        <w:spacing w:line="580" w:lineRule="exact"/>
        <w:ind w:firstLine="640" w:firstLineChars="200"/>
        <w:rPr>
          <w:rFonts w:hint="eastAsia" w:ascii="楷体_GB2312" w:hAnsi="宋体" w:eastAsia="楷体_GB2312" w:cs="宋体"/>
          <w:kern w:val="0"/>
          <w:sz w:val="32"/>
          <w:szCs w:val="32"/>
        </w:rPr>
      </w:pPr>
      <w:r>
        <w:rPr>
          <w:rFonts w:hint="eastAsia" w:ascii="仿宋_GB2312" w:hAnsi="仿宋_GB2312" w:eastAsia="仿宋_GB2312" w:cs="仿宋_GB2312"/>
          <w:kern w:val="0"/>
          <w:sz w:val="32"/>
          <w:szCs w:val="32"/>
        </w:rPr>
        <w:t>2、增加财政预算，将专项资金下拨到位。</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D06549"/>
    <w:multiLevelType w:val="singleLevel"/>
    <w:tmpl w:val="22D06549"/>
    <w:lvl w:ilvl="0" w:tentative="0">
      <w:start w:val="2"/>
      <w:numFmt w:val="chineseCounting"/>
      <w:suff w:val="nothing"/>
      <w:lvlText w:val="（%1）"/>
      <w:lvlJc w:val="left"/>
      <w:rPr>
        <w:rFonts w:hint="eastAsia"/>
      </w:rPr>
    </w:lvl>
  </w:abstractNum>
  <w:abstractNum w:abstractNumId="1">
    <w:nsid w:val="3DF6AF04"/>
    <w:multiLevelType w:val="singleLevel"/>
    <w:tmpl w:val="3DF6AF04"/>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2YTFiY2UxNzc5MmNiNGYwNjZjNjRkYzg2ZDgwMDkifQ=="/>
  </w:docVars>
  <w:rsids>
    <w:rsidRoot w:val="00B15980"/>
    <w:rsid w:val="000D7C8E"/>
    <w:rsid w:val="002871CB"/>
    <w:rsid w:val="003A4A2B"/>
    <w:rsid w:val="003E546E"/>
    <w:rsid w:val="00734B0C"/>
    <w:rsid w:val="00764143"/>
    <w:rsid w:val="007D5449"/>
    <w:rsid w:val="007E27BB"/>
    <w:rsid w:val="008848D9"/>
    <w:rsid w:val="00A37C7B"/>
    <w:rsid w:val="00B13151"/>
    <w:rsid w:val="00B15980"/>
    <w:rsid w:val="00B7505D"/>
    <w:rsid w:val="00C722E3"/>
    <w:rsid w:val="00DA0F4F"/>
    <w:rsid w:val="07BD69F0"/>
    <w:rsid w:val="0AC63BC7"/>
    <w:rsid w:val="10075C42"/>
    <w:rsid w:val="1A986674"/>
    <w:rsid w:val="21B7196D"/>
    <w:rsid w:val="284E5BC1"/>
    <w:rsid w:val="28E47585"/>
    <w:rsid w:val="298953C8"/>
    <w:rsid w:val="409C6C59"/>
    <w:rsid w:val="41FB4D4A"/>
    <w:rsid w:val="44604641"/>
    <w:rsid w:val="522A5F99"/>
    <w:rsid w:val="54E946E9"/>
    <w:rsid w:val="59685985"/>
    <w:rsid w:val="5AB83E92"/>
    <w:rsid w:val="624D6E0D"/>
    <w:rsid w:val="67DB4DC3"/>
    <w:rsid w:val="68A65412"/>
    <w:rsid w:val="6F006E26"/>
    <w:rsid w:val="73A807DD"/>
    <w:rsid w:val="76DF0A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style>
  <w:style w:type="paragraph" w:styleId="3">
    <w:name w:val="Body Text"/>
    <w:basedOn w:val="1"/>
    <w:next w:val="4"/>
    <w:qFormat/>
    <w:uiPriority w:val="0"/>
    <w:pPr>
      <w:spacing w:after="120" w:afterLines="0"/>
    </w:pPr>
    <w:rPr>
      <w:szCs w:val="20"/>
    </w:rPr>
  </w:style>
  <w:style w:type="paragraph" w:customStyle="1" w:styleId="4">
    <w:name w:val="正文首行缩进1"/>
    <w:basedOn w:val="1"/>
    <w:qFormat/>
    <w:uiPriority w:val="0"/>
    <w:pPr>
      <w:spacing w:after="120"/>
      <w:ind w:firstLine="420" w:firstLineChars="100"/>
    </w:pPr>
    <w:rPr>
      <w:rFonts w:ascii="Times New Roman" w:hAnsi="Times New Roman"/>
    </w:rPr>
  </w:style>
  <w:style w:type="paragraph" w:styleId="5">
    <w:name w:val="footer"/>
    <w:basedOn w:val="1"/>
    <w:semiHidden/>
    <w:unhideWhenUsed/>
    <w:qFormat/>
    <w:uiPriority w:val="99"/>
    <w:pPr>
      <w:tabs>
        <w:tab w:val="center" w:pos="4153"/>
        <w:tab w:val="right" w:pos="8306"/>
      </w:tabs>
      <w:snapToGrid w:val="0"/>
      <w:jc w:val="left"/>
    </w:pPr>
    <w:rPr>
      <w:sz w:val="18"/>
    </w:rPr>
  </w:style>
  <w:style w:type="paragraph" w:styleId="6">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2132</Words>
  <Characters>2237</Characters>
  <Lines>12</Lines>
  <Paragraphs>3</Paragraphs>
  <TotalTime>130</TotalTime>
  <ScaleCrop>false</ScaleCrop>
  <LinksUpToDate>false</LinksUpToDate>
  <CharactersWithSpaces>2254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2021-04-13T07:25:00Z</dcterms:created>
  <dc:creator>微软用户</dc:creator>
  <cp:lastModifiedBy>Administrator</cp:lastModifiedBy>
  <dcterms:modified xsi:type="dcterms:W3CDTF">2023-05-26T06:59:19Z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9BA3E5DFE11540DDA9496EED353D160E</vt:lpwstr>
  </property>
</Properties>
</file>