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600" w:lineRule="atLeast"/>
        <w:jc w:val="center"/>
        <w:rPr>
          <w:rFonts w:hint="eastAsia" w:ascii="方正大标宋简体" w:eastAsia="方正大标宋简体"/>
          <w:sz w:val="44"/>
          <w:szCs w:val="44"/>
        </w:rPr>
      </w:pPr>
      <w:r>
        <w:rPr>
          <w:rFonts w:hint="eastAsia" w:ascii="方正大标宋简体" w:eastAsia="方正大标宋简体"/>
          <w:sz w:val="44"/>
          <w:szCs w:val="44"/>
          <w:lang w:val="en-US" w:eastAsia="zh-CN"/>
        </w:rPr>
        <w:t>中共溆浦县委网信办2022年</w:t>
      </w:r>
      <w:r>
        <w:rPr>
          <w:rFonts w:hint="eastAsia" w:ascii="方正大标宋简体" w:eastAsia="方正大标宋简体"/>
          <w:sz w:val="44"/>
          <w:szCs w:val="44"/>
        </w:rPr>
        <w:t>部门整体支出绩效自评报告</w:t>
      </w:r>
    </w:p>
    <w:p>
      <w:pPr>
        <w:widowControl/>
        <w:shd w:val="clear" w:color="auto" w:fill="FFFFFF"/>
        <w:spacing w:line="600" w:lineRule="atLeast"/>
        <w:ind w:firstLine="640"/>
        <w:rPr>
          <w:rFonts w:hint="eastAsia" w:ascii="楷体" w:hAnsi="楷体" w:eastAsia="楷体"/>
          <w:b/>
          <w:spacing w:val="-2"/>
          <w:sz w:val="32"/>
          <w:szCs w:val="32"/>
        </w:rPr>
      </w:pPr>
    </w:p>
    <w:p>
      <w:pPr>
        <w:shd w:val="clear" w:color="auto" w:fill="FFFFFF"/>
        <w:spacing w:line="640" w:lineRule="exact"/>
        <w:ind w:firstLine="640"/>
        <w:rPr>
          <w:rFonts w:hint="eastAsia" w:ascii="黑体" w:hAnsi="黑体" w:eastAsia="黑体"/>
          <w:spacing w:val="-2"/>
          <w:sz w:val="32"/>
          <w:szCs w:val="21"/>
        </w:rPr>
      </w:pPr>
      <w:r>
        <w:rPr>
          <w:rFonts w:hint="eastAsia" w:ascii="黑体" w:hAnsi="黑体" w:eastAsia="黑体"/>
          <w:spacing w:val="-2"/>
          <w:sz w:val="32"/>
          <w:szCs w:val="32"/>
        </w:rPr>
        <w:t>一、部门概况</w:t>
      </w:r>
      <w:bookmarkStart w:id="0" w:name="_GoBack"/>
      <w:bookmarkEnd w:id="0"/>
    </w:p>
    <w:p>
      <w:pPr>
        <w:shd w:val="clear" w:color="auto" w:fill="FFFFFF"/>
        <w:spacing w:line="640" w:lineRule="exact"/>
        <w:ind w:firstLine="640"/>
        <w:rPr>
          <w:rFonts w:hint="eastAsia" w:ascii="仿宋_GB2312" w:hAnsi="仿宋" w:eastAsia="仿宋_GB2312"/>
          <w:spacing w:val="-2"/>
          <w:sz w:val="32"/>
          <w:szCs w:val="32"/>
        </w:rPr>
      </w:pPr>
      <w:r>
        <w:rPr>
          <w:rFonts w:hint="eastAsia" w:ascii="仿宋_GB2312" w:hAnsi="仿宋" w:eastAsia="仿宋_GB2312"/>
          <w:spacing w:val="-2"/>
          <w:sz w:val="32"/>
          <w:szCs w:val="32"/>
        </w:rPr>
        <w:t>（一）部门基本情况（包括部门的在职人员情况、机构设置、主要职能及重点工作计划等）。</w:t>
      </w:r>
    </w:p>
    <w:p>
      <w:pPr>
        <w:shd w:val="clear" w:color="auto" w:fill="FFFFFF"/>
        <w:spacing w:line="640" w:lineRule="exact"/>
        <w:ind w:firstLine="640"/>
        <w:rPr>
          <w:rFonts w:hint="eastAsia" w:ascii="仿宋_GB2312" w:hAnsi="仿宋" w:eastAsia="仿宋_GB2312"/>
          <w:spacing w:val="-2"/>
          <w:sz w:val="32"/>
          <w:szCs w:val="32"/>
        </w:rPr>
      </w:pPr>
      <w:r>
        <w:rPr>
          <w:rFonts w:hint="eastAsia" w:ascii="仿宋_GB2312" w:hAnsi="仿宋" w:eastAsia="仿宋_GB2312"/>
          <w:spacing w:val="-2"/>
          <w:sz w:val="32"/>
          <w:szCs w:val="32"/>
        </w:rPr>
        <w:t>（一）职能职责。中共溆浦县委网络安全和信息化委员会办公室，负责组织开展对涉及全县各个领域的网络安全和信息化重大问题研究。研究起草全县网络安全和信息化发展战略、宏观规划和重大政策；统筹协调全县网络安全保障体系和可信体系建设，督促落实全县网络安全和信息化有关重大事项，负责协调处理重大网络突发事件，负责全县互联网信息内容管理，统筹协调组织互联网宣传管理和舆论引导工作，维护互联网意识形态安全；负责指导协调全县网络舆情信息工作，推动全县网络阵地、网络文化、网络文明建设。协同有关部门指导县内机构开展金融信息服务业务和监管，拟定全县网络安全和信息化干部人才队伍发展等工作。</w:t>
      </w:r>
    </w:p>
    <w:p>
      <w:pPr>
        <w:shd w:val="clear" w:color="auto" w:fill="FFFFFF"/>
        <w:spacing w:line="640" w:lineRule="exact"/>
        <w:ind w:firstLine="640"/>
        <w:rPr>
          <w:rFonts w:hint="eastAsia" w:ascii="仿宋_GB2312" w:hAnsi="仿宋" w:eastAsia="仿宋_GB2312"/>
          <w:spacing w:val="-2"/>
          <w:sz w:val="32"/>
          <w:szCs w:val="32"/>
        </w:rPr>
      </w:pPr>
      <w:r>
        <w:rPr>
          <w:rFonts w:hint="eastAsia" w:ascii="仿宋_GB2312" w:hAnsi="仿宋" w:eastAsia="仿宋_GB2312"/>
          <w:spacing w:val="-2"/>
          <w:sz w:val="32"/>
          <w:szCs w:val="32"/>
          <w:lang w:eastAsia="zh-CN"/>
        </w:rPr>
        <w:t>（</w:t>
      </w:r>
      <w:r>
        <w:rPr>
          <w:rFonts w:hint="eastAsia" w:ascii="仿宋_GB2312" w:hAnsi="仿宋" w:eastAsia="仿宋_GB2312"/>
          <w:spacing w:val="-2"/>
          <w:sz w:val="32"/>
          <w:szCs w:val="32"/>
        </w:rPr>
        <w:t>二）机构设置。本单位内设机构有：综合室（政策法规室）、网络管理与舆情应急室、机关党支部（党建办）。县委网信办机关行政编制5个，事业编</w:t>
      </w:r>
      <w:r>
        <w:rPr>
          <w:rFonts w:hint="eastAsia" w:ascii="仿宋_GB2312" w:hAnsi="仿宋" w:eastAsia="仿宋_GB2312"/>
          <w:spacing w:val="-2"/>
          <w:sz w:val="32"/>
          <w:szCs w:val="32"/>
          <w:lang w:val="en-US" w:eastAsia="zh-CN"/>
        </w:rPr>
        <w:t>7</w:t>
      </w:r>
      <w:r>
        <w:rPr>
          <w:rFonts w:hint="eastAsia" w:ascii="仿宋_GB2312" w:hAnsi="仿宋" w:eastAsia="仿宋_GB2312"/>
          <w:spacing w:val="-2"/>
          <w:sz w:val="32"/>
          <w:szCs w:val="32"/>
        </w:rPr>
        <w:t>个。设主任1名，副主任1名。内设机构领导职数3名（含党建办主任1名）。二级机构1个，即溆浦县网络安全</w:t>
      </w:r>
      <w:r>
        <w:rPr>
          <w:rFonts w:hint="eastAsia" w:ascii="仿宋_GB2312" w:hAnsi="仿宋" w:eastAsia="仿宋_GB2312"/>
          <w:spacing w:val="-2"/>
          <w:sz w:val="32"/>
          <w:szCs w:val="32"/>
          <w:lang w:val="en-US" w:eastAsia="zh-CN"/>
        </w:rPr>
        <w:t>应急指挥</w:t>
      </w:r>
      <w:r>
        <w:rPr>
          <w:rFonts w:hint="eastAsia" w:ascii="仿宋_GB2312" w:hAnsi="仿宋" w:eastAsia="仿宋_GB2312"/>
          <w:spacing w:val="-2"/>
          <w:sz w:val="32"/>
          <w:szCs w:val="32"/>
        </w:rPr>
        <w:t>中心。实有</w:t>
      </w:r>
      <w:r>
        <w:rPr>
          <w:rFonts w:hint="eastAsia" w:ascii="仿宋_GB2312" w:hAnsi="仿宋" w:eastAsia="仿宋_GB2312"/>
          <w:spacing w:val="-2"/>
          <w:sz w:val="32"/>
          <w:szCs w:val="32"/>
          <w:lang w:val="en-US" w:eastAsia="zh-CN"/>
        </w:rPr>
        <w:t>9</w:t>
      </w:r>
      <w:r>
        <w:rPr>
          <w:rFonts w:hint="eastAsia" w:ascii="仿宋_GB2312" w:hAnsi="仿宋" w:eastAsia="仿宋_GB2312"/>
          <w:spacing w:val="-2"/>
          <w:sz w:val="32"/>
          <w:szCs w:val="32"/>
        </w:rPr>
        <w:t>人，其中，行政编</w:t>
      </w:r>
      <w:r>
        <w:rPr>
          <w:rFonts w:hint="eastAsia" w:ascii="仿宋_GB2312" w:hAnsi="仿宋" w:eastAsia="仿宋_GB2312"/>
          <w:spacing w:val="-2"/>
          <w:sz w:val="32"/>
          <w:szCs w:val="32"/>
          <w:lang w:val="en-US" w:eastAsia="zh-CN"/>
        </w:rPr>
        <w:t>5</w:t>
      </w:r>
      <w:r>
        <w:rPr>
          <w:rFonts w:hint="eastAsia" w:ascii="仿宋_GB2312" w:hAnsi="仿宋" w:eastAsia="仿宋_GB2312"/>
          <w:spacing w:val="-2"/>
          <w:sz w:val="32"/>
          <w:szCs w:val="32"/>
        </w:rPr>
        <w:t>人，事业编4人。</w:t>
      </w:r>
    </w:p>
    <w:p>
      <w:pPr>
        <w:shd w:val="clear" w:color="auto" w:fill="FFFFFF"/>
        <w:spacing w:line="640" w:lineRule="exact"/>
        <w:ind w:firstLine="640"/>
        <w:rPr>
          <w:rFonts w:hint="eastAsia" w:ascii="仿宋_GB2312" w:hAnsi="仿宋" w:eastAsia="仿宋_GB2312"/>
          <w:spacing w:val="-2"/>
          <w:sz w:val="32"/>
          <w:szCs w:val="32"/>
        </w:rPr>
      </w:pPr>
      <w:r>
        <w:rPr>
          <w:rFonts w:hint="eastAsia" w:ascii="仿宋_GB2312" w:hAnsi="仿宋" w:eastAsia="仿宋_GB2312"/>
          <w:spacing w:val="-2"/>
          <w:sz w:val="32"/>
          <w:szCs w:val="32"/>
        </w:rPr>
        <w:t>（二）部门整体支出规模、使用方向和主要内容、涉及范围等。</w:t>
      </w:r>
    </w:p>
    <w:p>
      <w:pPr>
        <w:shd w:val="clear" w:color="auto" w:fill="FFFFFF"/>
        <w:spacing w:line="640" w:lineRule="exact"/>
        <w:ind w:firstLine="640"/>
        <w:rPr>
          <w:rFonts w:hint="eastAsia" w:ascii="仿宋_GB2312" w:hAnsi="仿宋" w:eastAsia="仿宋_GB2312"/>
          <w:spacing w:val="-2"/>
          <w:sz w:val="32"/>
          <w:szCs w:val="32"/>
        </w:rPr>
      </w:pPr>
      <w:r>
        <w:rPr>
          <w:rFonts w:hint="eastAsia" w:ascii="仿宋_GB2312" w:hAnsi="仿宋" w:eastAsia="仿宋_GB2312"/>
          <w:spacing w:val="-2"/>
          <w:sz w:val="32"/>
          <w:szCs w:val="32"/>
        </w:rPr>
        <w:t>202</w:t>
      </w:r>
      <w:r>
        <w:rPr>
          <w:rFonts w:hint="eastAsia" w:ascii="仿宋_GB2312" w:hAnsi="仿宋" w:eastAsia="仿宋_GB2312"/>
          <w:spacing w:val="-2"/>
          <w:sz w:val="32"/>
          <w:szCs w:val="32"/>
          <w:lang w:val="en-US" w:eastAsia="zh-CN"/>
        </w:rPr>
        <w:t>2</w:t>
      </w:r>
      <w:r>
        <w:rPr>
          <w:rFonts w:hint="eastAsia" w:ascii="仿宋_GB2312" w:hAnsi="仿宋" w:eastAsia="仿宋_GB2312"/>
          <w:spacing w:val="-2"/>
          <w:sz w:val="32"/>
          <w:szCs w:val="32"/>
        </w:rPr>
        <w:t>年本部门支出预算</w:t>
      </w:r>
      <w:r>
        <w:rPr>
          <w:rFonts w:hint="eastAsia" w:ascii="仿宋_GB2312" w:hAnsi="仿宋" w:eastAsia="仿宋_GB2312"/>
          <w:spacing w:val="-2"/>
          <w:sz w:val="32"/>
          <w:szCs w:val="32"/>
          <w:lang w:val="en-US" w:eastAsia="zh-CN"/>
        </w:rPr>
        <w:t>176.34</w:t>
      </w:r>
      <w:r>
        <w:rPr>
          <w:rFonts w:hint="eastAsia" w:ascii="仿宋_GB2312" w:hAnsi="仿宋" w:eastAsia="仿宋_GB2312"/>
          <w:spacing w:val="-2"/>
          <w:sz w:val="32"/>
          <w:szCs w:val="32"/>
        </w:rPr>
        <w:t>万元，按部门预算经济分类，其中包括：1、基本支出</w:t>
      </w:r>
      <w:r>
        <w:rPr>
          <w:rFonts w:hint="eastAsia" w:ascii="仿宋_GB2312" w:hAnsi="仿宋" w:eastAsia="仿宋_GB2312"/>
          <w:spacing w:val="-2"/>
          <w:sz w:val="32"/>
          <w:szCs w:val="32"/>
          <w:lang w:val="en-US" w:eastAsia="zh-CN"/>
        </w:rPr>
        <w:t>96.34</w:t>
      </w:r>
      <w:r>
        <w:rPr>
          <w:rFonts w:hint="eastAsia" w:ascii="仿宋_GB2312" w:hAnsi="仿宋" w:eastAsia="仿宋_GB2312"/>
          <w:spacing w:val="-2"/>
          <w:sz w:val="32"/>
          <w:szCs w:val="32"/>
        </w:rPr>
        <w:t>万元，占比54.63%</w:t>
      </w:r>
      <w:r>
        <w:rPr>
          <w:rFonts w:hint="eastAsia" w:ascii="仿宋_GB2312" w:hAnsi="仿宋" w:eastAsia="仿宋_GB2312"/>
          <w:spacing w:val="-2"/>
          <w:sz w:val="32"/>
          <w:szCs w:val="32"/>
          <w:lang w:eastAsia="zh-CN"/>
        </w:rPr>
        <w:t>，</w:t>
      </w:r>
      <w:r>
        <w:rPr>
          <w:rFonts w:hint="eastAsia" w:ascii="仿宋_GB2312" w:hAnsi="仿宋" w:eastAsia="仿宋_GB2312"/>
          <w:spacing w:val="-2"/>
          <w:sz w:val="32"/>
          <w:szCs w:val="32"/>
        </w:rPr>
        <w:t>主要是为保障部门正常运转、完成日常工作任务而发生的各项支出；2、项目支出</w:t>
      </w:r>
      <w:r>
        <w:rPr>
          <w:rFonts w:hint="eastAsia" w:ascii="仿宋_GB2312" w:hAnsi="仿宋" w:eastAsia="仿宋_GB2312"/>
          <w:spacing w:val="-2"/>
          <w:sz w:val="32"/>
          <w:szCs w:val="32"/>
          <w:lang w:val="en-US" w:eastAsia="zh-CN"/>
        </w:rPr>
        <w:t>80</w:t>
      </w:r>
      <w:r>
        <w:rPr>
          <w:rFonts w:hint="eastAsia" w:ascii="仿宋_GB2312" w:hAnsi="仿宋" w:eastAsia="仿宋_GB2312"/>
          <w:spacing w:val="-2"/>
          <w:sz w:val="32"/>
          <w:szCs w:val="32"/>
        </w:rPr>
        <w:t>万元，占比45.37%</w:t>
      </w:r>
      <w:r>
        <w:rPr>
          <w:rFonts w:hint="eastAsia" w:ascii="仿宋_GB2312" w:hAnsi="仿宋" w:eastAsia="仿宋_GB2312"/>
          <w:spacing w:val="-2"/>
          <w:sz w:val="32"/>
          <w:szCs w:val="32"/>
          <w:lang w:eastAsia="zh-CN"/>
        </w:rPr>
        <w:t>，主要是部门为完成特定</w:t>
      </w:r>
      <w:r>
        <w:rPr>
          <w:rFonts w:hint="eastAsia" w:ascii="仿宋_GB2312" w:hAnsi="仿宋" w:eastAsia="仿宋_GB2312"/>
          <w:spacing w:val="-2"/>
          <w:sz w:val="32"/>
          <w:szCs w:val="32"/>
          <w:lang w:val="en-US" w:eastAsia="zh-CN"/>
        </w:rPr>
        <w:t>网信</w:t>
      </w:r>
      <w:r>
        <w:rPr>
          <w:rFonts w:hint="eastAsia" w:ascii="仿宋_GB2312" w:hAnsi="仿宋" w:eastAsia="仿宋_GB2312"/>
          <w:spacing w:val="-2"/>
          <w:sz w:val="32"/>
          <w:szCs w:val="32"/>
          <w:lang w:eastAsia="zh-CN"/>
        </w:rPr>
        <w:t>工作任务</w:t>
      </w:r>
      <w:r>
        <w:rPr>
          <w:rFonts w:hint="eastAsia" w:ascii="仿宋_GB2312" w:hAnsi="仿宋" w:eastAsia="仿宋_GB2312"/>
          <w:spacing w:val="-2"/>
          <w:sz w:val="32"/>
          <w:szCs w:val="32"/>
          <w:lang w:val="en-US" w:eastAsia="zh-CN"/>
        </w:rPr>
        <w:t>和网络安全和宣传引导</w:t>
      </w:r>
      <w:r>
        <w:rPr>
          <w:rFonts w:hint="eastAsia" w:ascii="仿宋_GB2312" w:hAnsi="仿宋" w:eastAsia="仿宋_GB2312"/>
          <w:spacing w:val="-2"/>
          <w:sz w:val="32"/>
          <w:szCs w:val="32"/>
          <w:lang w:eastAsia="zh-CN"/>
        </w:rPr>
        <w:t>事业发展目标而发生的支出</w:t>
      </w:r>
      <w:r>
        <w:rPr>
          <w:rFonts w:hint="eastAsia" w:ascii="仿宋_GB2312" w:hAnsi="仿宋" w:eastAsia="仿宋_GB2312"/>
          <w:spacing w:val="-2"/>
          <w:sz w:val="32"/>
          <w:szCs w:val="32"/>
        </w:rPr>
        <w:t>。</w:t>
      </w:r>
    </w:p>
    <w:p>
      <w:pPr>
        <w:shd w:val="clear" w:color="auto" w:fill="FFFFFF"/>
        <w:spacing w:line="640" w:lineRule="exact"/>
        <w:ind w:firstLine="640"/>
        <w:rPr>
          <w:rFonts w:hint="eastAsia" w:ascii="黑体" w:hAnsi="黑体" w:eastAsia="黑体"/>
          <w:spacing w:val="-2"/>
          <w:sz w:val="32"/>
          <w:szCs w:val="32"/>
        </w:rPr>
      </w:pPr>
      <w:r>
        <w:rPr>
          <w:rFonts w:hint="eastAsia" w:ascii="黑体" w:hAnsi="黑体" w:eastAsia="黑体"/>
          <w:spacing w:val="-2"/>
          <w:sz w:val="32"/>
          <w:szCs w:val="32"/>
        </w:rPr>
        <w:t>二、部门整体支出管理及使用情况</w:t>
      </w:r>
    </w:p>
    <w:p>
      <w:pPr>
        <w:shd w:val="clear" w:color="auto" w:fill="FFFFFF"/>
        <w:spacing w:line="640" w:lineRule="exact"/>
        <w:ind w:firstLine="643"/>
        <w:rPr>
          <w:rFonts w:hint="eastAsia" w:ascii="楷体_GB2312" w:hAnsi="楷体_GB2312" w:eastAsia="楷体_GB2312" w:cs="楷体_GB2312"/>
          <w:b/>
          <w:spacing w:val="-2"/>
          <w:sz w:val="32"/>
          <w:szCs w:val="21"/>
        </w:rPr>
      </w:pPr>
      <w:r>
        <w:rPr>
          <w:rFonts w:hint="eastAsia" w:ascii="楷体_GB2312" w:hAnsi="楷体_GB2312" w:eastAsia="楷体_GB2312" w:cs="楷体_GB2312"/>
          <w:b/>
          <w:spacing w:val="-2"/>
          <w:sz w:val="32"/>
          <w:szCs w:val="32"/>
        </w:rPr>
        <w:t>（一）基本支出</w:t>
      </w:r>
    </w:p>
    <w:p>
      <w:pPr>
        <w:shd w:val="clear" w:color="auto" w:fill="FFFFFF"/>
        <w:spacing w:line="640" w:lineRule="exact"/>
        <w:ind w:firstLine="640"/>
        <w:rPr>
          <w:rFonts w:hint="eastAsia" w:ascii="仿宋_GB2312" w:hAnsi="仿宋" w:eastAsia="仿宋_GB2312"/>
          <w:spacing w:val="-2"/>
          <w:sz w:val="32"/>
          <w:szCs w:val="32"/>
        </w:rPr>
      </w:pPr>
      <w:r>
        <w:rPr>
          <w:rFonts w:hint="eastAsia" w:ascii="仿宋_GB2312" w:hAnsi="仿宋" w:eastAsia="仿宋_GB2312"/>
          <w:spacing w:val="-2"/>
          <w:sz w:val="32"/>
          <w:szCs w:val="32"/>
        </w:rPr>
        <w:t>介绍基本支出的主要用途、范围以及资金的管理情况，尤其是“三公”经费的使用和管理情况。</w:t>
      </w:r>
    </w:p>
    <w:p>
      <w:pPr>
        <w:shd w:val="clear" w:color="auto" w:fill="FFFFFF"/>
        <w:spacing w:line="640" w:lineRule="exact"/>
        <w:ind w:firstLine="640"/>
        <w:rPr>
          <w:rFonts w:hint="eastAsia" w:ascii="仿宋_GB2312" w:hAnsi="仿宋" w:eastAsia="仿宋_GB2312"/>
          <w:spacing w:val="-2"/>
          <w:sz w:val="32"/>
          <w:szCs w:val="32"/>
        </w:rPr>
      </w:pPr>
      <w:r>
        <w:rPr>
          <w:rFonts w:hint="eastAsia" w:ascii="仿宋_GB2312" w:hAnsi="仿宋" w:eastAsia="仿宋_GB2312"/>
          <w:spacing w:val="-2"/>
          <w:sz w:val="32"/>
          <w:szCs w:val="32"/>
        </w:rPr>
        <w:t>基本支出：202</w:t>
      </w:r>
      <w:r>
        <w:rPr>
          <w:rFonts w:hint="eastAsia" w:ascii="仿宋_GB2312" w:hAnsi="仿宋" w:eastAsia="仿宋_GB2312"/>
          <w:spacing w:val="-2"/>
          <w:sz w:val="32"/>
          <w:szCs w:val="32"/>
          <w:lang w:val="en-US" w:eastAsia="zh-CN"/>
        </w:rPr>
        <w:t>2</w:t>
      </w:r>
      <w:r>
        <w:rPr>
          <w:rFonts w:hint="eastAsia" w:ascii="仿宋_GB2312" w:hAnsi="仿宋" w:eastAsia="仿宋_GB2312"/>
          <w:spacing w:val="-2"/>
          <w:sz w:val="32"/>
          <w:szCs w:val="32"/>
        </w:rPr>
        <w:t>年本部门基本支出预算数</w:t>
      </w:r>
      <w:r>
        <w:rPr>
          <w:rFonts w:hint="eastAsia" w:ascii="仿宋_GB2312" w:hAnsi="仿宋" w:eastAsia="仿宋_GB2312"/>
          <w:spacing w:val="-2"/>
          <w:sz w:val="32"/>
          <w:szCs w:val="32"/>
          <w:lang w:val="en-US" w:eastAsia="zh-CN"/>
        </w:rPr>
        <w:t>96.34</w:t>
      </w:r>
      <w:r>
        <w:rPr>
          <w:rFonts w:hint="eastAsia" w:ascii="仿宋_GB2312" w:hAnsi="仿宋" w:eastAsia="仿宋_GB2312"/>
          <w:spacing w:val="-2"/>
          <w:sz w:val="32"/>
          <w:szCs w:val="32"/>
        </w:rPr>
        <w:t>万元，主要是为保障部门正常运转、完成日常工作任务而发生的各项支出，包括用于基本工资、津贴补贴等人员经费</w:t>
      </w:r>
      <w:r>
        <w:rPr>
          <w:rFonts w:hint="eastAsia" w:ascii="仿宋_GB2312" w:hAnsi="仿宋" w:eastAsia="仿宋_GB2312"/>
          <w:spacing w:val="-2"/>
          <w:sz w:val="32"/>
          <w:szCs w:val="32"/>
          <w:lang w:val="en-US" w:eastAsia="zh-CN"/>
        </w:rPr>
        <w:t>71.74</w:t>
      </w:r>
      <w:r>
        <w:rPr>
          <w:rFonts w:hint="eastAsia" w:ascii="仿宋_GB2312" w:hAnsi="仿宋" w:eastAsia="仿宋_GB2312"/>
          <w:spacing w:val="-2"/>
          <w:sz w:val="32"/>
          <w:szCs w:val="32"/>
        </w:rPr>
        <w:t>万元，占全年基本支出的74%，以及办公费、印刷费、水电费、办公设备购置等公用经费</w:t>
      </w:r>
      <w:r>
        <w:rPr>
          <w:rFonts w:hint="eastAsia" w:ascii="仿宋_GB2312" w:hAnsi="仿宋" w:eastAsia="仿宋_GB2312"/>
          <w:spacing w:val="-2"/>
          <w:sz w:val="32"/>
          <w:szCs w:val="32"/>
          <w:lang w:val="en-US" w:eastAsia="zh-CN"/>
        </w:rPr>
        <w:t>24.6</w:t>
      </w:r>
      <w:r>
        <w:rPr>
          <w:rFonts w:hint="eastAsia" w:ascii="仿宋_GB2312" w:hAnsi="仿宋" w:eastAsia="仿宋_GB2312"/>
          <w:spacing w:val="-2"/>
          <w:sz w:val="32"/>
          <w:szCs w:val="32"/>
        </w:rPr>
        <w:t>万元，占全年基本支出的</w:t>
      </w:r>
      <w:r>
        <w:rPr>
          <w:rFonts w:hint="eastAsia" w:ascii="仿宋_GB2312" w:hAnsi="仿宋" w:eastAsia="仿宋_GB2312"/>
          <w:spacing w:val="-2"/>
          <w:sz w:val="32"/>
          <w:szCs w:val="32"/>
          <w:lang w:val="en-US" w:eastAsia="zh-CN"/>
        </w:rPr>
        <w:t>26</w:t>
      </w:r>
      <w:r>
        <w:rPr>
          <w:rFonts w:hint="eastAsia" w:ascii="仿宋_GB2312" w:hAnsi="仿宋" w:eastAsia="仿宋_GB2312"/>
          <w:spacing w:val="-2"/>
          <w:sz w:val="32"/>
          <w:szCs w:val="32"/>
        </w:rPr>
        <w:t>%。</w:t>
      </w:r>
    </w:p>
    <w:p>
      <w:pPr>
        <w:shd w:val="clear" w:color="auto" w:fill="FFFFFF"/>
        <w:spacing w:line="640" w:lineRule="exact"/>
        <w:ind w:firstLine="640"/>
        <w:rPr>
          <w:rFonts w:hint="eastAsia" w:ascii="仿宋_GB2312" w:hAnsi="仿宋" w:eastAsia="仿宋_GB2312"/>
          <w:spacing w:val="-2"/>
          <w:sz w:val="32"/>
          <w:szCs w:val="32"/>
        </w:rPr>
      </w:pPr>
      <w:r>
        <w:rPr>
          <w:rFonts w:hint="eastAsia" w:ascii="仿宋_GB2312" w:hAnsi="仿宋" w:eastAsia="仿宋_GB2312"/>
          <w:spacing w:val="-2"/>
          <w:sz w:val="32"/>
          <w:szCs w:val="32"/>
        </w:rPr>
        <w:t>“三公”经费预算：202</w:t>
      </w:r>
      <w:r>
        <w:rPr>
          <w:rFonts w:hint="eastAsia" w:ascii="仿宋_GB2312" w:hAnsi="仿宋" w:eastAsia="仿宋_GB2312"/>
          <w:spacing w:val="-2"/>
          <w:sz w:val="32"/>
          <w:szCs w:val="32"/>
          <w:lang w:val="en-US" w:eastAsia="zh-CN"/>
        </w:rPr>
        <w:t>1</w:t>
      </w:r>
      <w:r>
        <w:rPr>
          <w:rFonts w:hint="eastAsia" w:ascii="仿宋_GB2312" w:hAnsi="仿宋" w:eastAsia="仿宋_GB2312"/>
          <w:spacing w:val="-2"/>
          <w:sz w:val="32"/>
          <w:szCs w:val="32"/>
        </w:rPr>
        <w:t>年本部门机关单位“三公”经费因公出国（境）费0元、公务用车购置支出及购置数、运行费支出0元，公务用车保有量0台、</w:t>
      </w:r>
      <w:r>
        <w:rPr>
          <w:rFonts w:hint="eastAsia" w:ascii="仿宋_GB2312" w:hAnsi="仿宋" w:eastAsia="仿宋_GB2312"/>
          <w:spacing w:val="-2"/>
          <w:sz w:val="32"/>
          <w:szCs w:val="32"/>
          <w:lang w:val="en-US" w:eastAsia="zh-CN"/>
        </w:rPr>
        <w:t>公务用车和</w:t>
      </w:r>
      <w:r>
        <w:rPr>
          <w:rFonts w:hint="eastAsia" w:ascii="仿宋_GB2312" w:hAnsi="仿宋" w:eastAsia="仿宋_GB2312"/>
          <w:spacing w:val="-2"/>
          <w:sz w:val="32"/>
          <w:szCs w:val="32"/>
        </w:rPr>
        <w:t>公务接待费</w:t>
      </w:r>
      <w:r>
        <w:rPr>
          <w:rFonts w:hint="eastAsia" w:ascii="仿宋_GB2312" w:hAnsi="仿宋" w:eastAsia="仿宋_GB2312"/>
          <w:spacing w:val="-2"/>
          <w:sz w:val="32"/>
          <w:szCs w:val="32"/>
          <w:lang w:val="en-US" w:eastAsia="zh-CN"/>
        </w:rPr>
        <w:t>共1.1</w:t>
      </w:r>
      <w:r>
        <w:rPr>
          <w:rFonts w:hint="eastAsia" w:ascii="仿宋_GB2312" w:hAnsi="仿宋" w:eastAsia="仿宋_GB2312"/>
          <w:spacing w:val="-2"/>
          <w:sz w:val="32"/>
          <w:szCs w:val="32"/>
        </w:rPr>
        <w:t>万元，与上年相比减</w:t>
      </w:r>
      <w:r>
        <w:rPr>
          <w:rFonts w:hint="eastAsia" w:ascii="仿宋_GB2312" w:hAnsi="仿宋" w:eastAsia="仿宋_GB2312"/>
          <w:spacing w:val="-2"/>
          <w:sz w:val="32"/>
          <w:szCs w:val="32"/>
          <w:lang w:val="en-US" w:eastAsia="zh-CN"/>
        </w:rPr>
        <w:t>少</w:t>
      </w:r>
      <w:r>
        <w:rPr>
          <w:rFonts w:hint="eastAsia" w:ascii="仿宋_GB2312" w:hAnsi="仿宋" w:eastAsia="仿宋_GB2312"/>
          <w:spacing w:val="-2"/>
          <w:sz w:val="32"/>
          <w:szCs w:val="32"/>
        </w:rPr>
        <w:t>。</w:t>
      </w:r>
    </w:p>
    <w:p>
      <w:pPr>
        <w:shd w:val="clear" w:color="auto" w:fill="FFFFFF"/>
        <w:spacing w:line="640" w:lineRule="exact"/>
        <w:ind w:firstLine="643"/>
        <w:rPr>
          <w:rFonts w:hint="eastAsia" w:ascii="楷体_GB2312" w:hAnsi="楷体_GB2312" w:eastAsia="楷体_GB2312" w:cs="楷体_GB2312"/>
          <w:b/>
          <w:spacing w:val="-2"/>
          <w:sz w:val="32"/>
          <w:szCs w:val="32"/>
        </w:rPr>
      </w:pPr>
      <w:r>
        <w:rPr>
          <w:rFonts w:hint="eastAsia" w:ascii="楷体_GB2312" w:hAnsi="楷体_GB2312" w:eastAsia="楷体_GB2312" w:cs="楷体_GB2312"/>
          <w:b/>
          <w:spacing w:val="-2"/>
          <w:sz w:val="32"/>
          <w:szCs w:val="32"/>
        </w:rPr>
        <w:t>（二）专项支出</w:t>
      </w:r>
    </w:p>
    <w:p>
      <w:pPr>
        <w:shd w:val="clear" w:color="auto" w:fill="FFFFFF"/>
        <w:spacing w:line="640" w:lineRule="exact"/>
        <w:ind w:firstLine="640"/>
        <w:rPr>
          <w:rFonts w:hint="eastAsia" w:ascii="仿宋_GB2312" w:hAnsi="仿宋" w:eastAsia="仿宋_GB2312"/>
          <w:spacing w:val="-2"/>
          <w:sz w:val="32"/>
          <w:szCs w:val="32"/>
        </w:rPr>
      </w:pPr>
      <w:r>
        <w:rPr>
          <w:rFonts w:hint="eastAsia" w:ascii="仿宋_GB2312" w:hAnsi="仿宋" w:eastAsia="仿宋_GB2312"/>
          <w:spacing w:val="-2"/>
          <w:sz w:val="32"/>
          <w:szCs w:val="32"/>
        </w:rPr>
        <w:t>1、专项资金（包括财政资金、自筹资金等）安排落实、总投入等情况分析。</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仿宋_GB2312" w:hAnsi="仿宋" w:eastAsia="仿宋_GB2312" w:cs="Times New Roman"/>
          <w:spacing w:val="-2"/>
          <w:kern w:val="2"/>
          <w:sz w:val="32"/>
          <w:szCs w:val="32"/>
          <w:lang w:val="en-US" w:eastAsia="zh-CN" w:bidi="ar-SA"/>
        </w:rPr>
      </w:pPr>
      <w:r>
        <w:rPr>
          <w:rFonts w:hint="eastAsia" w:ascii="仿宋_GB2312" w:hAnsi="宋体" w:eastAsia="仿宋_GB2312"/>
          <w:spacing w:val="-20"/>
          <w:sz w:val="32"/>
          <w:szCs w:val="32"/>
        </w:rPr>
        <w:t>20</w:t>
      </w:r>
      <w:r>
        <w:rPr>
          <w:rFonts w:hint="eastAsia" w:ascii="仿宋_GB2312" w:hAnsi="宋体" w:eastAsia="仿宋_GB2312"/>
          <w:spacing w:val="-20"/>
          <w:sz w:val="32"/>
          <w:szCs w:val="32"/>
          <w:lang w:val="en-US" w:eastAsia="zh-CN"/>
        </w:rPr>
        <w:t>22</w:t>
      </w:r>
      <w:r>
        <w:rPr>
          <w:rFonts w:hint="eastAsia" w:ascii="仿宋_GB2312" w:hAnsi="宋体" w:eastAsia="仿宋_GB2312"/>
          <w:spacing w:val="-20"/>
          <w:sz w:val="32"/>
          <w:szCs w:val="32"/>
        </w:rPr>
        <w:t>年</w:t>
      </w:r>
      <w:r>
        <w:rPr>
          <w:rFonts w:hint="eastAsia" w:ascii="仿宋_GB2312" w:hAnsi="宋体" w:eastAsia="仿宋_GB2312"/>
          <w:spacing w:val="-20"/>
          <w:sz w:val="32"/>
          <w:szCs w:val="32"/>
          <w:lang w:val="en-US" w:eastAsia="zh-CN"/>
        </w:rPr>
        <w:t>初网信</w:t>
      </w:r>
      <w:r>
        <w:rPr>
          <w:rFonts w:hint="eastAsia" w:ascii="仿宋_GB2312" w:hAnsi="宋体" w:eastAsia="仿宋_GB2312"/>
          <w:spacing w:val="-20"/>
          <w:sz w:val="32"/>
          <w:szCs w:val="32"/>
          <w:lang w:eastAsia="zh-CN"/>
        </w:rPr>
        <w:t>专项</w:t>
      </w:r>
      <w:r>
        <w:rPr>
          <w:rFonts w:hint="eastAsia" w:ascii="仿宋_GB2312" w:hAnsi="宋体" w:eastAsia="仿宋_GB2312"/>
          <w:spacing w:val="-20"/>
          <w:sz w:val="32"/>
          <w:szCs w:val="32"/>
        </w:rPr>
        <w:t>经费</w:t>
      </w:r>
      <w:r>
        <w:rPr>
          <w:rFonts w:hint="eastAsia" w:ascii="仿宋_GB2312" w:hAnsi="宋体" w:eastAsia="仿宋_GB2312"/>
          <w:spacing w:val="-20"/>
          <w:sz w:val="32"/>
          <w:szCs w:val="32"/>
          <w:lang w:val="en-US" w:eastAsia="zh-CN"/>
        </w:rPr>
        <w:t>预算80</w:t>
      </w:r>
      <w:r>
        <w:rPr>
          <w:rFonts w:hint="eastAsia" w:ascii="仿宋_GB2312" w:hAnsi="宋体" w:eastAsia="仿宋_GB2312"/>
          <w:spacing w:val="-20"/>
          <w:sz w:val="32"/>
          <w:szCs w:val="32"/>
        </w:rPr>
        <w:t>万元</w:t>
      </w:r>
      <w:r>
        <w:rPr>
          <w:rFonts w:hint="eastAsia" w:ascii="仿宋_GB2312" w:hAnsi="宋体" w:eastAsia="仿宋_GB2312"/>
          <w:spacing w:val="-20"/>
          <w:sz w:val="32"/>
          <w:szCs w:val="32"/>
          <w:lang w:eastAsia="zh-CN"/>
        </w:rPr>
        <w:t>，</w:t>
      </w:r>
      <w:r>
        <w:rPr>
          <w:rFonts w:hint="eastAsia" w:ascii="仿宋_GB2312" w:hAnsi="宋体" w:eastAsia="仿宋_GB2312"/>
          <w:spacing w:val="-20"/>
          <w:sz w:val="32"/>
          <w:szCs w:val="32"/>
          <w:lang w:val="en-US" w:eastAsia="zh-CN"/>
        </w:rPr>
        <w:t>因财政预算调整为56万元，</w:t>
      </w:r>
      <w:r>
        <w:rPr>
          <w:rFonts w:hint="eastAsia" w:ascii="仿宋_GB2312" w:hAnsi="宋体" w:eastAsia="仿宋_GB2312"/>
          <w:spacing w:val="-20"/>
          <w:sz w:val="32"/>
          <w:szCs w:val="32"/>
          <w:lang w:eastAsia="zh-CN"/>
        </w:rPr>
        <w:t>实拨</w:t>
      </w:r>
      <w:r>
        <w:rPr>
          <w:rFonts w:hint="eastAsia" w:ascii="仿宋_GB2312" w:hAnsi="宋体" w:eastAsia="仿宋_GB2312"/>
          <w:spacing w:val="-20"/>
          <w:sz w:val="32"/>
          <w:szCs w:val="32"/>
          <w:lang w:val="en-US" w:eastAsia="zh-CN"/>
        </w:rPr>
        <w:t>56万，</w:t>
      </w:r>
      <w:r>
        <w:rPr>
          <w:rFonts w:hint="eastAsia" w:ascii="仿宋_GB2312" w:hAnsi="宋体" w:eastAsia="仿宋_GB2312"/>
          <w:spacing w:val="-20"/>
          <w:sz w:val="32"/>
          <w:szCs w:val="32"/>
        </w:rPr>
        <w:t>资金到位率</w:t>
      </w:r>
      <w:r>
        <w:rPr>
          <w:rFonts w:hint="eastAsia" w:ascii="仿宋_GB2312" w:hAnsi="宋体" w:eastAsia="仿宋_GB2312"/>
          <w:spacing w:val="-20"/>
          <w:sz w:val="32"/>
          <w:szCs w:val="32"/>
          <w:lang w:val="en-US" w:eastAsia="zh-CN"/>
        </w:rPr>
        <w:t>100</w:t>
      </w:r>
      <w:r>
        <w:rPr>
          <w:rFonts w:hint="eastAsia" w:ascii="仿宋_GB2312" w:hAnsi="宋体" w:eastAsia="仿宋_GB2312"/>
          <w:spacing w:val="-20"/>
          <w:sz w:val="32"/>
          <w:szCs w:val="32"/>
        </w:rPr>
        <w:t>%。</w:t>
      </w:r>
      <w:r>
        <w:rPr>
          <w:rFonts w:hint="eastAsia" w:ascii="仿宋_GB2312" w:hAnsi="仿宋" w:eastAsia="仿宋_GB2312" w:cs="Times New Roman"/>
          <w:spacing w:val="-2"/>
          <w:kern w:val="2"/>
          <w:sz w:val="32"/>
          <w:szCs w:val="32"/>
          <w:lang w:val="en-US" w:eastAsia="zh-CN" w:bidi="ar-SA"/>
        </w:rPr>
        <w:t>主要用于开展网络宣传和引导，维护和保障网络安全，网络信息监管运转，网络舆情监测、处置；网评员队伍建设、舆情引导；网络执法队伍建设。</w:t>
      </w:r>
    </w:p>
    <w:p>
      <w:pPr>
        <w:numPr>
          <w:ilvl w:val="0"/>
          <w:numId w:val="1"/>
        </w:numPr>
        <w:shd w:val="clear" w:color="auto" w:fill="FFFFFF"/>
        <w:spacing w:line="640" w:lineRule="exact"/>
        <w:ind w:firstLine="640"/>
        <w:rPr>
          <w:rFonts w:hint="eastAsia" w:ascii="仿宋_GB2312" w:hAnsi="仿宋" w:eastAsia="仿宋_GB2312"/>
          <w:spacing w:val="-2"/>
          <w:sz w:val="32"/>
          <w:szCs w:val="32"/>
        </w:rPr>
      </w:pPr>
      <w:r>
        <w:rPr>
          <w:rFonts w:hint="eastAsia" w:ascii="仿宋_GB2312" w:hAnsi="仿宋" w:eastAsia="仿宋_GB2312"/>
          <w:spacing w:val="-2"/>
          <w:sz w:val="32"/>
          <w:szCs w:val="32"/>
        </w:rPr>
        <w:t>专项资金（主要指财政资金）实际使用情况分析。</w:t>
      </w:r>
    </w:p>
    <w:p>
      <w:pPr>
        <w:shd w:val="clear" w:color="auto" w:fill="FFFFFF"/>
        <w:spacing w:line="640" w:lineRule="exact"/>
        <w:ind w:firstLine="640"/>
        <w:rPr>
          <w:rFonts w:hint="eastAsia" w:ascii="仿宋_GB2312" w:hAnsi="仿宋" w:eastAsia="仿宋_GB2312"/>
          <w:spacing w:val="-2"/>
          <w:sz w:val="32"/>
          <w:szCs w:val="32"/>
        </w:rPr>
      </w:pPr>
      <w:r>
        <w:rPr>
          <w:rFonts w:hint="eastAsia" w:ascii="仿宋_GB2312" w:hAnsi="仿宋" w:eastAsia="仿宋_GB2312"/>
          <w:spacing w:val="-2"/>
          <w:sz w:val="32"/>
          <w:szCs w:val="32"/>
        </w:rPr>
        <w:t>202</w:t>
      </w:r>
      <w:r>
        <w:rPr>
          <w:rFonts w:hint="eastAsia" w:ascii="仿宋_GB2312" w:hAnsi="仿宋" w:eastAsia="仿宋_GB2312"/>
          <w:spacing w:val="-2"/>
          <w:sz w:val="32"/>
          <w:szCs w:val="32"/>
          <w:lang w:val="en-US" w:eastAsia="zh-CN"/>
        </w:rPr>
        <w:t>2</w:t>
      </w:r>
      <w:r>
        <w:rPr>
          <w:rFonts w:hint="eastAsia" w:ascii="仿宋_GB2312" w:hAnsi="仿宋" w:eastAsia="仿宋_GB2312"/>
          <w:spacing w:val="-2"/>
          <w:sz w:val="32"/>
          <w:szCs w:val="32"/>
        </w:rPr>
        <w:t>年本部门项目</w:t>
      </w:r>
      <w:r>
        <w:rPr>
          <w:rFonts w:hint="eastAsia" w:ascii="仿宋_GB2312" w:hAnsi="仿宋" w:eastAsia="仿宋_GB2312"/>
          <w:spacing w:val="-2"/>
          <w:sz w:val="32"/>
          <w:szCs w:val="32"/>
          <w:lang w:val="en-US" w:eastAsia="zh-CN"/>
        </w:rPr>
        <w:t>资金为网信专项经费56</w:t>
      </w:r>
      <w:r>
        <w:rPr>
          <w:rFonts w:hint="eastAsia" w:ascii="仿宋_GB2312" w:hAnsi="仿宋" w:eastAsia="仿宋_GB2312"/>
          <w:spacing w:val="-2"/>
          <w:sz w:val="32"/>
          <w:szCs w:val="32"/>
        </w:rPr>
        <w:t>万元，主要是部门为</w:t>
      </w:r>
      <w:r>
        <w:rPr>
          <w:rFonts w:hint="eastAsia" w:ascii="仿宋_GB2312" w:hAnsi="仿宋" w:eastAsia="仿宋_GB2312"/>
          <w:spacing w:val="-2"/>
          <w:sz w:val="32"/>
          <w:szCs w:val="32"/>
          <w:lang w:val="en-US" w:eastAsia="zh-CN"/>
        </w:rPr>
        <w:t>开展和</w:t>
      </w:r>
      <w:r>
        <w:rPr>
          <w:rFonts w:hint="eastAsia" w:ascii="仿宋_GB2312" w:hAnsi="仿宋" w:eastAsia="仿宋_GB2312"/>
          <w:spacing w:val="-2"/>
          <w:sz w:val="32"/>
          <w:szCs w:val="32"/>
        </w:rPr>
        <w:t>完成</w:t>
      </w:r>
      <w:r>
        <w:rPr>
          <w:rFonts w:hint="eastAsia" w:ascii="仿宋_GB2312" w:hAnsi="仿宋" w:eastAsia="仿宋_GB2312"/>
          <w:spacing w:val="-2"/>
          <w:sz w:val="32"/>
          <w:szCs w:val="32"/>
          <w:lang w:val="en-US" w:eastAsia="zh-CN"/>
        </w:rPr>
        <w:t>各项网信工作</w:t>
      </w:r>
      <w:r>
        <w:rPr>
          <w:rFonts w:hint="eastAsia" w:ascii="仿宋_GB2312" w:hAnsi="仿宋" w:eastAsia="仿宋_GB2312"/>
          <w:spacing w:val="-2"/>
          <w:sz w:val="32"/>
          <w:szCs w:val="32"/>
        </w:rPr>
        <w:t>：1、网络文化建设经费</w:t>
      </w:r>
      <w:r>
        <w:rPr>
          <w:rFonts w:hint="eastAsia" w:ascii="仿宋_GB2312" w:hAnsi="仿宋" w:eastAsia="仿宋_GB2312"/>
          <w:spacing w:val="-2"/>
          <w:sz w:val="32"/>
          <w:szCs w:val="32"/>
          <w:lang w:eastAsia="zh-CN"/>
        </w:rPr>
        <w:t>；</w:t>
      </w:r>
      <w:r>
        <w:rPr>
          <w:rFonts w:hint="eastAsia" w:ascii="仿宋_GB2312" w:hAnsi="仿宋" w:eastAsia="仿宋_GB2312"/>
          <w:spacing w:val="-2"/>
          <w:sz w:val="32"/>
          <w:szCs w:val="32"/>
        </w:rPr>
        <w:t>2、网络宣传引导经费；3、网评员工作经费；4、网络舆情值班费；5、网络安全专项检查；6、网络综合治理；7、舆情应急体系建设；8、舆情报送经费；9、网信工作培训经费。</w:t>
      </w:r>
    </w:p>
    <w:p>
      <w:pPr>
        <w:numPr>
          <w:ilvl w:val="0"/>
          <w:numId w:val="1"/>
        </w:numPr>
        <w:shd w:val="clear" w:color="auto" w:fill="FFFFFF"/>
        <w:spacing w:line="640" w:lineRule="exact"/>
        <w:ind w:left="0" w:leftChars="0" w:firstLine="640" w:firstLineChars="0"/>
        <w:rPr>
          <w:rFonts w:hint="eastAsia" w:ascii="仿宋_GB2312" w:hAnsi="仿宋" w:eastAsia="仿宋_GB2312"/>
          <w:spacing w:val="-2"/>
          <w:sz w:val="32"/>
          <w:szCs w:val="32"/>
        </w:rPr>
      </w:pPr>
      <w:r>
        <w:rPr>
          <w:rFonts w:hint="eastAsia" w:ascii="仿宋_GB2312" w:hAnsi="仿宋" w:eastAsia="仿宋_GB2312"/>
          <w:spacing w:val="-2"/>
          <w:sz w:val="32"/>
          <w:szCs w:val="32"/>
        </w:rPr>
        <w:t>专项资金管理情况分析，主要包括管理制度、办法的制订及执行情况。</w:t>
      </w:r>
    </w:p>
    <w:p>
      <w:pPr>
        <w:shd w:val="clear" w:color="auto" w:fill="FFFFFF"/>
        <w:spacing w:line="640" w:lineRule="exact"/>
        <w:ind w:firstLine="640"/>
        <w:rPr>
          <w:rFonts w:hint="eastAsia" w:ascii="仿宋_GB2312" w:hAnsi="仿宋" w:eastAsia="仿宋_GB2312" w:cs="Times New Roman"/>
          <w:spacing w:val="-2"/>
          <w:sz w:val="32"/>
          <w:szCs w:val="32"/>
        </w:rPr>
      </w:pPr>
      <w:r>
        <w:rPr>
          <w:rFonts w:hint="eastAsia" w:ascii="仿宋_GB2312" w:hAnsi="仿宋" w:eastAsia="仿宋_GB2312" w:cs="Times New Roman"/>
          <w:spacing w:val="-2"/>
          <w:kern w:val="2"/>
          <w:sz w:val="32"/>
          <w:szCs w:val="32"/>
          <w:lang w:val="en-US" w:eastAsia="zh-CN" w:bidi="ar-SA"/>
        </w:rPr>
        <w:t>各项专项资金的申请和使用严格按溆浦县财政局文件精神和中共溆浦县委网信办“三重一大”事项集体决策制度执行。</w:t>
      </w:r>
      <w:r>
        <w:rPr>
          <w:rFonts w:hint="eastAsia" w:ascii="仿宋_GB2312" w:hAnsi="仿宋" w:eastAsia="仿宋_GB2312" w:cs="Times New Roman"/>
          <w:spacing w:val="-2"/>
          <w:sz w:val="32"/>
          <w:szCs w:val="32"/>
          <w:lang w:val="en-US" w:eastAsia="zh-CN"/>
        </w:rPr>
        <w:t>我办</w:t>
      </w:r>
      <w:r>
        <w:rPr>
          <w:rFonts w:hint="eastAsia" w:ascii="仿宋_GB2312" w:hAnsi="仿宋" w:eastAsia="仿宋_GB2312" w:cs="Times New Roman"/>
          <w:spacing w:val="-2"/>
          <w:sz w:val="32"/>
          <w:szCs w:val="32"/>
        </w:rPr>
        <w:t>制定了项目管理相关制度,包括会议制度、合同制度、财务管理制度、廉洁自律制度等。在项目实施工程中,工作人员能严格执行制度的相关规定,派专人负责督查,确保建设任务按时高效完成。</w:t>
      </w:r>
    </w:p>
    <w:p>
      <w:pPr>
        <w:shd w:val="clear" w:color="auto" w:fill="FFFFFF"/>
        <w:spacing w:line="640" w:lineRule="exact"/>
        <w:ind w:firstLine="640"/>
        <w:rPr>
          <w:rFonts w:hint="eastAsia" w:ascii="黑体" w:hAnsi="黑体" w:eastAsia="黑体"/>
          <w:spacing w:val="-2"/>
          <w:sz w:val="32"/>
          <w:szCs w:val="32"/>
        </w:rPr>
      </w:pPr>
      <w:r>
        <w:rPr>
          <w:rFonts w:hint="eastAsia" w:ascii="黑体" w:hAnsi="黑体" w:eastAsia="黑体"/>
          <w:spacing w:val="-2"/>
          <w:sz w:val="32"/>
          <w:szCs w:val="32"/>
        </w:rPr>
        <w:t>三、部门专项组织实施情况</w:t>
      </w:r>
    </w:p>
    <w:p>
      <w:pPr>
        <w:shd w:val="clear" w:color="auto" w:fill="FFFFFF"/>
        <w:spacing w:line="640" w:lineRule="exact"/>
        <w:ind w:firstLine="640"/>
        <w:rPr>
          <w:rFonts w:hint="eastAsia" w:ascii="仿宋_GB2312" w:hAnsi="仿宋" w:eastAsia="仿宋_GB2312"/>
          <w:spacing w:val="-2"/>
          <w:sz w:val="32"/>
          <w:szCs w:val="32"/>
        </w:rPr>
      </w:pPr>
      <w:r>
        <w:rPr>
          <w:rFonts w:hint="eastAsia" w:ascii="仿宋_GB2312" w:hAnsi="仿宋" w:eastAsia="仿宋_GB2312"/>
          <w:spacing w:val="-2"/>
          <w:sz w:val="32"/>
          <w:szCs w:val="32"/>
        </w:rPr>
        <w:t>（一）专项组织情况分析，主要包括项目招投标、调整、竣工验收等情况。</w:t>
      </w:r>
    </w:p>
    <w:p>
      <w:pPr>
        <w:shd w:val="clear" w:color="auto" w:fill="FFFFFF"/>
        <w:spacing w:line="640" w:lineRule="exact"/>
        <w:ind w:firstLine="640"/>
        <w:rPr>
          <w:rFonts w:hint="eastAsia" w:ascii="仿宋_GB2312" w:hAnsi="仿宋" w:eastAsia="仿宋_GB2312"/>
          <w:spacing w:val="-2"/>
          <w:sz w:val="32"/>
          <w:szCs w:val="32"/>
          <w:lang w:val="en-US" w:eastAsia="zh-CN"/>
        </w:rPr>
      </w:pPr>
      <w:r>
        <w:rPr>
          <w:rFonts w:hint="eastAsia" w:ascii="仿宋_GB2312" w:hAnsi="仿宋" w:eastAsia="仿宋_GB2312"/>
          <w:spacing w:val="-2"/>
          <w:sz w:val="32"/>
          <w:szCs w:val="32"/>
          <w:lang w:val="en-US" w:eastAsia="zh-CN"/>
        </w:rPr>
        <w:t>无</w:t>
      </w:r>
    </w:p>
    <w:p>
      <w:pPr>
        <w:numPr>
          <w:ilvl w:val="0"/>
          <w:numId w:val="2"/>
        </w:numPr>
        <w:shd w:val="clear" w:color="auto" w:fill="FFFFFF"/>
        <w:spacing w:line="640" w:lineRule="exact"/>
        <w:ind w:firstLine="640"/>
        <w:rPr>
          <w:rFonts w:hint="eastAsia" w:ascii="仿宋_GB2312" w:hAnsi="仿宋" w:eastAsia="仿宋_GB2312"/>
          <w:spacing w:val="-2"/>
          <w:sz w:val="32"/>
          <w:szCs w:val="32"/>
        </w:rPr>
      </w:pPr>
      <w:r>
        <w:rPr>
          <w:rFonts w:hint="eastAsia" w:ascii="仿宋_GB2312" w:hAnsi="仿宋" w:eastAsia="仿宋_GB2312"/>
          <w:spacing w:val="-2"/>
          <w:sz w:val="32"/>
          <w:szCs w:val="32"/>
        </w:rPr>
        <w:t>专项管理情况分析，主要包括项目管理制度建设、日常检查监督管理等情况。</w:t>
      </w:r>
    </w:p>
    <w:p>
      <w:pPr>
        <w:numPr>
          <w:ilvl w:val="0"/>
          <w:numId w:val="0"/>
        </w:numPr>
        <w:shd w:val="clear" w:color="auto" w:fill="FFFFFF"/>
        <w:spacing w:line="640" w:lineRule="exact"/>
        <w:rPr>
          <w:rFonts w:hint="eastAsia" w:ascii="仿宋_GB2312" w:hAnsi="仿宋" w:eastAsia="仿宋_GB2312"/>
          <w:spacing w:val="-2"/>
          <w:sz w:val="32"/>
          <w:szCs w:val="32"/>
        </w:rPr>
      </w:pPr>
      <w:r>
        <w:rPr>
          <w:rFonts w:hint="eastAsia" w:ascii="仿宋_GB2312" w:hAnsi="仿宋" w:eastAsia="仿宋_GB2312"/>
          <w:spacing w:val="-2"/>
          <w:sz w:val="32"/>
          <w:szCs w:val="32"/>
          <w:lang w:val="en-US" w:eastAsia="zh-CN"/>
        </w:rPr>
        <w:t>制定2022年</w:t>
      </w:r>
      <w:r>
        <w:rPr>
          <w:rFonts w:hint="eastAsia" w:ascii="仿宋_GB2312" w:hAnsi="仿宋" w:eastAsia="仿宋_GB2312" w:cs="Times New Roman"/>
          <w:spacing w:val="-2"/>
          <w:kern w:val="2"/>
          <w:sz w:val="32"/>
          <w:szCs w:val="32"/>
          <w:lang w:val="en-US" w:eastAsia="zh-CN" w:bidi="ar-SA"/>
        </w:rPr>
        <w:t>中共溆浦县委网信办“三重一大”事项集体决策制度，加强日常账务管理监督。</w:t>
      </w:r>
    </w:p>
    <w:p>
      <w:pPr>
        <w:shd w:val="clear" w:color="auto" w:fill="FFFFFF"/>
        <w:spacing w:line="640" w:lineRule="exact"/>
        <w:ind w:firstLine="640"/>
        <w:rPr>
          <w:rFonts w:hint="eastAsia" w:ascii="黑体" w:hAnsi="黑体" w:eastAsia="黑体"/>
          <w:spacing w:val="-2"/>
          <w:sz w:val="32"/>
          <w:szCs w:val="32"/>
        </w:rPr>
      </w:pPr>
      <w:r>
        <w:rPr>
          <w:rFonts w:hint="eastAsia" w:ascii="黑体" w:hAnsi="黑体" w:eastAsia="黑体"/>
          <w:spacing w:val="-2"/>
          <w:sz w:val="32"/>
          <w:szCs w:val="32"/>
        </w:rPr>
        <w:t>四、资产管理情况</w:t>
      </w:r>
    </w:p>
    <w:p>
      <w:pPr>
        <w:shd w:val="clear" w:color="auto" w:fill="FFFFFF"/>
        <w:spacing w:line="640" w:lineRule="exact"/>
        <w:ind w:firstLine="640"/>
        <w:rPr>
          <w:rFonts w:hint="eastAsia" w:ascii="仿宋_GB2312" w:hAnsi="仿宋" w:eastAsia="仿宋_GB2312"/>
          <w:spacing w:val="-2"/>
          <w:sz w:val="32"/>
          <w:szCs w:val="32"/>
        </w:rPr>
      </w:pPr>
      <w:r>
        <w:rPr>
          <w:rFonts w:hint="eastAsia" w:ascii="仿宋_GB2312" w:hAnsi="仿宋" w:eastAsia="仿宋_GB2312"/>
          <w:spacing w:val="-2"/>
          <w:sz w:val="32"/>
          <w:szCs w:val="32"/>
        </w:rPr>
        <w:t>反映部门资产的配置、管理、处置等综合情况。包括制度建设、管理措施、配置处置的程序等。</w:t>
      </w:r>
    </w:p>
    <w:p>
      <w:pPr>
        <w:shd w:val="clear" w:color="auto" w:fill="FFFFFF"/>
        <w:spacing w:line="640" w:lineRule="exact"/>
        <w:ind w:firstLine="640"/>
        <w:rPr>
          <w:rFonts w:hint="default" w:ascii="仿宋_GB2312" w:hAnsi="仿宋" w:eastAsia="仿宋_GB2312"/>
          <w:spacing w:val="-2"/>
          <w:sz w:val="32"/>
          <w:szCs w:val="32"/>
          <w:lang w:val="en-US" w:eastAsia="zh-CN"/>
        </w:rPr>
      </w:pPr>
      <w:r>
        <w:rPr>
          <w:rFonts w:hint="eastAsia" w:ascii="仿宋_GB2312" w:hAnsi="仿宋" w:eastAsia="仿宋_GB2312"/>
          <w:spacing w:val="-2"/>
          <w:sz w:val="32"/>
          <w:szCs w:val="32"/>
        </w:rPr>
        <w:t>截至202</w:t>
      </w:r>
      <w:r>
        <w:rPr>
          <w:rFonts w:hint="eastAsia" w:ascii="仿宋_GB2312" w:hAnsi="仿宋" w:eastAsia="仿宋_GB2312"/>
          <w:spacing w:val="-2"/>
          <w:sz w:val="32"/>
          <w:szCs w:val="32"/>
          <w:lang w:val="en-US" w:eastAsia="zh-CN"/>
        </w:rPr>
        <w:t>2</w:t>
      </w:r>
      <w:r>
        <w:rPr>
          <w:rFonts w:hint="eastAsia" w:ascii="仿宋_GB2312" w:hAnsi="仿宋" w:eastAsia="仿宋_GB2312"/>
          <w:spacing w:val="-2"/>
          <w:sz w:val="32"/>
          <w:szCs w:val="32"/>
        </w:rPr>
        <w:t>年12月底，本部门共有公务用车0辆，其中，机要通信用车0辆，应急保障用车0辆，执法执勤用车0辆，特种专业技术用车0辆，其他按照规定配备的公务用车0辆；单位价值50万元以上通用设备0台，单位价值100万元以上专用设备0台。202</w:t>
      </w:r>
      <w:r>
        <w:rPr>
          <w:rFonts w:hint="eastAsia" w:ascii="仿宋_GB2312" w:hAnsi="仿宋" w:eastAsia="仿宋_GB2312"/>
          <w:spacing w:val="-2"/>
          <w:sz w:val="32"/>
          <w:szCs w:val="32"/>
          <w:lang w:val="en-US" w:eastAsia="zh-CN"/>
        </w:rPr>
        <w:t>2</w:t>
      </w:r>
      <w:r>
        <w:rPr>
          <w:rFonts w:hint="eastAsia" w:ascii="仿宋_GB2312" w:hAnsi="仿宋" w:eastAsia="仿宋_GB2312"/>
          <w:spacing w:val="-2"/>
          <w:sz w:val="32"/>
          <w:szCs w:val="32"/>
        </w:rPr>
        <w:t>年新增配置公务用车0辆，其中，机要通信用车0辆，应急保障用车0辆，执法执勤用车0辆，特种专业技术用车0辆，其他按照规定配备的公务用车0辆；新增配备单位价值50万元以上通用设备0台，单位价值100万元以上专用设备0台</w:t>
      </w:r>
      <w:r>
        <w:rPr>
          <w:rFonts w:hint="eastAsia" w:ascii="仿宋_GB2312" w:hAnsi="仿宋" w:eastAsia="仿宋_GB2312"/>
          <w:spacing w:val="-2"/>
          <w:sz w:val="32"/>
          <w:szCs w:val="32"/>
          <w:lang w:eastAsia="zh-CN"/>
        </w:rPr>
        <w:t>，</w:t>
      </w:r>
      <w:r>
        <w:rPr>
          <w:rFonts w:hint="eastAsia" w:ascii="仿宋_GB2312" w:hAnsi="仿宋" w:eastAsia="仿宋_GB2312"/>
          <w:spacing w:val="-2"/>
          <w:sz w:val="32"/>
          <w:szCs w:val="32"/>
          <w:lang w:val="en-US" w:eastAsia="zh-CN"/>
        </w:rPr>
        <w:t>严格执行单位公务租车程序。采购固定资产按月登记上报资产月报。</w:t>
      </w:r>
    </w:p>
    <w:p>
      <w:pPr>
        <w:shd w:val="clear" w:color="auto" w:fill="FFFFFF"/>
        <w:spacing w:line="640" w:lineRule="exact"/>
        <w:ind w:firstLine="640"/>
        <w:rPr>
          <w:rFonts w:hint="eastAsia" w:ascii="黑体" w:hAnsi="黑体" w:eastAsia="黑体"/>
          <w:spacing w:val="-2"/>
          <w:sz w:val="32"/>
          <w:szCs w:val="32"/>
        </w:rPr>
      </w:pPr>
      <w:r>
        <w:rPr>
          <w:rFonts w:hint="eastAsia" w:ascii="黑体" w:hAnsi="黑体" w:eastAsia="黑体"/>
          <w:spacing w:val="-2"/>
          <w:sz w:val="32"/>
          <w:szCs w:val="32"/>
        </w:rPr>
        <w:t>五、部门整体支出绩效情况</w:t>
      </w:r>
    </w:p>
    <w:p>
      <w:pPr>
        <w:shd w:val="clear" w:color="auto" w:fill="FFFFFF"/>
        <w:spacing w:line="640" w:lineRule="exact"/>
        <w:ind w:firstLine="640"/>
        <w:rPr>
          <w:rFonts w:hint="eastAsia" w:ascii="仿宋_GB2312" w:hAnsi="仿宋" w:eastAsia="仿宋_GB2312"/>
          <w:spacing w:val="-2"/>
          <w:sz w:val="32"/>
          <w:szCs w:val="32"/>
        </w:rPr>
      </w:pPr>
      <w:r>
        <w:rPr>
          <w:rFonts w:hint="eastAsia" w:ascii="仿宋_GB2312" w:hAnsi="仿宋" w:eastAsia="仿宋_GB2312"/>
          <w:spacing w:val="-2"/>
          <w:sz w:val="32"/>
          <w:szCs w:val="32"/>
        </w:rPr>
        <w:t>反映部门履职及履职效益情况。主要从部门整体支出的经济性、效率性、有效性和可持续性等方面进行量化、具体分析。其中：经济性分析主要是对成本（预算）控制、节约等情况进行分析；效率性分析主要是对各项工作、专项完成的进度及质量等情况进行分析；有效性分析主要是对反映部门整体支出使用效果的个性指标进行分析；可持续性分析主要是对支出完成后，后续政策、资金、人员机构安排和管理措施等影响项目持续发展的因素进行分析。</w:t>
      </w:r>
    </w:p>
    <w:p>
      <w:pPr>
        <w:shd w:val="clear" w:color="auto" w:fill="FFFFFF"/>
        <w:spacing w:line="640" w:lineRule="exact"/>
        <w:ind w:firstLine="640"/>
        <w:rPr>
          <w:rFonts w:hint="eastAsia" w:ascii="仿宋_GB2312" w:hAnsi="仿宋_GB2312" w:eastAsia="仿宋_GB2312" w:cs="仿宋_GB2312"/>
          <w:color w:val="000000"/>
          <w:spacing w:val="-6"/>
          <w:sz w:val="32"/>
          <w:szCs w:val="32"/>
          <w:lang w:eastAsia="zh-CN"/>
        </w:rPr>
      </w:pPr>
      <w:r>
        <w:rPr>
          <w:rFonts w:hint="eastAsia" w:ascii="仿宋_GB2312" w:hAnsi="仿宋_GB2312" w:eastAsia="仿宋_GB2312" w:cs="仿宋_GB2312"/>
          <w:color w:val="000000"/>
          <w:sz w:val="32"/>
          <w:szCs w:val="32"/>
          <w:lang w:val="en-US" w:eastAsia="zh-CN"/>
        </w:rPr>
        <w:t>今年</w:t>
      </w:r>
      <w:r>
        <w:rPr>
          <w:rFonts w:hint="eastAsia" w:ascii="仿宋_GB2312" w:hAnsi="仿宋_GB2312" w:eastAsia="仿宋_GB2312" w:cs="仿宋_GB2312"/>
          <w:color w:val="000000"/>
          <w:sz w:val="32"/>
          <w:szCs w:val="32"/>
        </w:rPr>
        <w:t>以来，县委网信办深入贯彻落实习近平网络强国战略思想，全面落实中央、省委、市委和县委决策部署，</w:t>
      </w:r>
      <w:r>
        <w:rPr>
          <w:rFonts w:hint="eastAsia" w:ascii="仿宋_GB2312" w:hAnsi="仿宋_GB2312" w:eastAsia="仿宋_GB2312" w:cs="仿宋_GB2312"/>
          <w:color w:val="000000"/>
          <w:spacing w:val="-6"/>
          <w:sz w:val="32"/>
          <w:szCs w:val="32"/>
          <w:lang w:val="en-US" w:eastAsia="zh-CN"/>
        </w:rPr>
        <w:t>以贯彻落实网络意识形态工作责任制和网络安全工作责任制为抓手，全力推进网络综合治理体系建设，为建设高水平开放高质量发展的现代化新溆浦提供坚强有力</w:t>
      </w:r>
      <w:r>
        <w:rPr>
          <w:rFonts w:hint="eastAsia" w:ascii="仿宋_GB2312" w:hAnsi="仿宋_GB2312" w:eastAsia="仿宋_GB2312" w:cs="仿宋_GB2312"/>
          <w:color w:val="000000"/>
          <w:spacing w:val="-6"/>
          <w:sz w:val="32"/>
          <w:szCs w:val="32"/>
        </w:rPr>
        <w:t>的网上舆论支持、可靠网络安全保障、重要信息化支撑</w:t>
      </w:r>
      <w:r>
        <w:rPr>
          <w:rFonts w:hint="eastAsia" w:ascii="仿宋_GB2312" w:hAnsi="仿宋_GB2312" w:eastAsia="仿宋_GB2312" w:cs="仿宋_GB2312"/>
          <w:color w:val="000000"/>
          <w:spacing w:val="-6"/>
          <w:sz w:val="32"/>
          <w:szCs w:val="32"/>
          <w:lang w:eastAsia="zh-CN"/>
        </w:rPr>
        <w:t>。</w:t>
      </w:r>
      <w:r>
        <w:rPr>
          <w:rFonts w:hint="eastAsia" w:ascii="仿宋_GB2312" w:hAnsi="仿宋_GB2312" w:eastAsia="仿宋_GB2312" w:cs="仿宋_GB2312"/>
          <w:color w:val="000000"/>
          <w:sz w:val="32"/>
          <w:szCs w:val="32"/>
          <w:lang w:val="en-US" w:eastAsia="zh-CN"/>
        </w:rPr>
        <w:t>今年</w:t>
      </w:r>
      <w:r>
        <w:rPr>
          <w:rFonts w:hint="eastAsia" w:ascii="仿宋_GB2312" w:hAnsi="仿宋_GB2312" w:eastAsia="仿宋_GB2312" w:cs="仿宋_GB2312"/>
          <w:color w:val="000000"/>
          <w:sz w:val="32"/>
          <w:szCs w:val="32"/>
        </w:rPr>
        <w:t>以来，县委网信办深入贯彻落实习近平网络强国战略思想，全面落实中央、省委、市委和县委决策部署，</w:t>
      </w:r>
      <w:r>
        <w:rPr>
          <w:rFonts w:hint="eastAsia" w:ascii="仿宋_GB2312" w:hAnsi="仿宋_GB2312" w:eastAsia="仿宋_GB2312" w:cs="仿宋_GB2312"/>
          <w:color w:val="000000"/>
          <w:spacing w:val="-6"/>
          <w:sz w:val="32"/>
          <w:szCs w:val="32"/>
          <w:lang w:val="en-US" w:eastAsia="zh-CN"/>
        </w:rPr>
        <w:t>以贯彻落实网络意识形态工作责任制和网络安全工作责任制为抓手，全力推进网络综合治理体系建设，为建设高水平开放高质量发展的现代化新溆浦提供坚强有力</w:t>
      </w:r>
      <w:r>
        <w:rPr>
          <w:rFonts w:hint="eastAsia" w:ascii="仿宋_GB2312" w:hAnsi="仿宋_GB2312" w:eastAsia="仿宋_GB2312" w:cs="仿宋_GB2312"/>
          <w:color w:val="000000"/>
          <w:spacing w:val="-6"/>
          <w:sz w:val="32"/>
          <w:szCs w:val="32"/>
        </w:rPr>
        <w:t>的网上舆论支持、可靠网络安全保障、重要信息化支撑</w:t>
      </w:r>
      <w:r>
        <w:rPr>
          <w:rFonts w:hint="eastAsia" w:ascii="仿宋_GB2312" w:hAnsi="仿宋_GB2312" w:eastAsia="仿宋_GB2312" w:cs="仿宋_GB2312"/>
          <w:color w:val="000000"/>
          <w:spacing w:val="-6"/>
          <w:sz w:val="32"/>
          <w:szCs w:val="32"/>
          <w:lang w:eastAsia="zh-CN"/>
        </w:rPr>
        <w:t>。</w:t>
      </w:r>
    </w:p>
    <w:p>
      <w:pPr>
        <w:shd w:val="clear" w:color="auto" w:fill="FFFFFF"/>
        <w:spacing w:line="640" w:lineRule="exact"/>
        <w:ind w:firstLine="640"/>
        <w:rPr>
          <w:rFonts w:hint="eastAsia" w:ascii="黑体" w:hAnsi="黑体" w:eastAsia="黑体"/>
          <w:spacing w:val="-2"/>
          <w:sz w:val="32"/>
          <w:szCs w:val="32"/>
        </w:rPr>
      </w:pPr>
      <w:r>
        <w:rPr>
          <w:rFonts w:hint="eastAsia" w:ascii="黑体" w:hAnsi="黑体" w:eastAsia="黑体"/>
          <w:spacing w:val="-2"/>
          <w:sz w:val="32"/>
          <w:szCs w:val="32"/>
        </w:rPr>
        <w:t>六、存在的主要问题</w:t>
      </w:r>
    </w:p>
    <w:p>
      <w:pPr>
        <w:shd w:val="clear" w:color="auto" w:fill="FFFFFF"/>
        <w:spacing w:line="640" w:lineRule="exact"/>
        <w:ind w:firstLine="640"/>
        <w:rPr>
          <w:rFonts w:hint="eastAsia" w:ascii="仿宋_GB2312" w:hAnsi="仿宋" w:eastAsia="仿宋_GB2312"/>
          <w:spacing w:val="-2"/>
          <w:sz w:val="32"/>
          <w:szCs w:val="32"/>
        </w:rPr>
      </w:pPr>
      <w:r>
        <w:rPr>
          <w:rFonts w:hint="eastAsia" w:ascii="仿宋_GB2312" w:hAnsi="仿宋" w:eastAsia="仿宋_GB2312"/>
          <w:spacing w:val="-2"/>
          <w:sz w:val="32"/>
          <w:szCs w:val="32"/>
        </w:rPr>
        <w:t>主要阐述资金安排、使用，资产管理过程中存在的问题。</w:t>
      </w:r>
    </w:p>
    <w:p>
      <w:pPr>
        <w:shd w:val="clear" w:color="auto" w:fill="FFFFFF"/>
        <w:spacing w:line="640" w:lineRule="exact"/>
        <w:ind w:firstLine="640"/>
        <w:rPr>
          <w:rFonts w:hint="default" w:ascii="仿宋_GB2312" w:hAnsi="仿宋" w:eastAsia="仿宋_GB2312"/>
          <w:spacing w:val="-2"/>
          <w:sz w:val="32"/>
          <w:szCs w:val="32"/>
          <w:lang w:val="en-US" w:eastAsia="zh-CN"/>
        </w:rPr>
      </w:pPr>
      <w:r>
        <w:rPr>
          <w:rFonts w:hint="eastAsia" w:ascii="仿宋_GB2312" w:hAnsi="仿宋" w:eastAsia="仿宋_GB2312"/>
          <w:spacing w:val="-2"/>
          <w:sz w:val="32"/>
          <w:szCs w:val="32"/>
          <w:lang w:val="en-US" w:eastAsia="zh-CN"/>
        </w:rPr>
        <w:t>本单位由于人少事多，上级财政行政运转经费大幅度缩减，安排的运转经费极其紧张，难以维持整个部门的正常运转开支。</w:t>
      </w:r>
    </w:p>
    <w:p>
      <w:pPr>
        <w:shd w:val="clear" w:color="auto" w:fill="FFFFFF"/>
        <w:spacing w:line="640" w:lineRule="exact"/>
        <w:ind w:firstLine="640"/>
        <w:rPr>
          <w:rFonts w:hint="eastAsia" w:ascii="黑体" w:hAnsi="黑体" w:eastAsia="黑体"/>
          <w:spacing w:val="-2"/>
          <w:sz w:val="32"/>
          <w:szCs w:val="32"/>
        </w:rPr>
      </w:pPr>
      <w:r>
        <w:rPr>
          <w:rFonts w:hint="eastAsia" w:ascii="黑体" w:hAnsi="黑体" w:eastAsia="黑体"/>
          <w:spacing w:val="-2"/>
          <w:sz w:val="32"/>
          <w:szCs w:val="32"/>
        </w:rPr>
        <w:t>七、改进措施和有关建议</w:t>
      </w:r>
    </w:p>
    <w:p>
      <w:pPr>
        <w:shd w:val="clear" w:color="auto" w:fill="FFFFFF"/>
        <w:spacing w:line="640" w:lineRule="exact"/>
        <w:ind w:firstLine="640"/>
        <w:rPr>
          <w:rFonts w:hint="eastAsia" w:ascii="仿宋_GB2312" w:hAnsi="仿宋" w:eastAsia="仿宋_GB2312"/>
          <w:spacing w:val="-2"/>
          <w:sz w:val="32"/>
          <w:szCs w:val="32"/>
        </w:rPr>
      </w:pPr>
      <w:r>
        <w:rPr>
          <w:rFonts w:hint="eastAsia" w:ascii="仿宋_GB2312" w:hAnsi="仿宋" w:eastAsia="仿宋_GB2312"/>
          <w:spacing w:val="-2"/>
          <w:sz w:val="32"/>
          <w:szCs w:val="32"/>
        </w:rPr>
        <w:t>对存在的问题提出切实可行的改进措施和有关建议等。</w:t>
      </w:r>
    </w:p>
    <w:p>
      <w:pPr>
        <w:shd w:val="clear" w:color="auto" w:fill="FFFFFF"/>
        <w:spacing w:line="640" w:lineRule="exact"/>
        <w:ind w:firstLine="640"/>
        <w:rPr>
          <w:rFonts w:hint="eastAsia" w:ascii="仿宋_GB2312" w:hAnsi="仿宋" w:eastAsia="仿宋_GB2312" w:cs="Times New Roman"/>
          <w:spacing w:val="-2"/>
          <w:sz w:val="32"/>
          <w:szCs w:val="32"/>
        </w:rPr>
      </w:pPr>
      <w:r>
        <w:rPr>
          <w:rFonts w:hint="eastAsia" w:ascii="仿宋_GB2312" w:hAnsi="仿宋" w:eastAsia="仿宋_GB2312" w:cs="Times New Roman"/>
          <w:spacing w:val="-2"/>
          <w:sz w:val="32"/>
          <w:szCs w:val="32"/>
          <w:lang w:val="en-US" w:eastAsia="zh-CN"/>
        </w:rPr>
        <w:t>建议上级财政部门对本单位加大财政经费保障。</w:t>
      </w:r>
    </w:p>
    <w:p>
      <w:pPr>
        <w:shd w:val="clear" w:color="auto" w:fill="FFFFFF"/>
        <w:spacing w:line="640" w:lineRule="exact"/>
        <w:ind w:firstLine="640"/>
        <w:rPr>
          <w:rFonts w:hint="eastAsia" w:ascii="仿宋_GB2312" w:hAnsi="仿宋" w:eastAsia="仿宋_GB2312"/>
          <w:spacing w:val="-2"/>
          <w:sz w:val="32"/>
          <w:szCs w:val="32"/>
        </w:rPr>
      </w:pPr>
    </w:p>
    <w:p>
      <w:pPr>
        <w:spacing w:line="640" w:lineRule="exact"/>
        <w:rPr>
          <w:rFonts w:hint="eastAsia" w:ascii="仿宋_GB2312" w:eastAsia="仿宋_GB2312"/>
        </w:rPr>
      </w:pPr>
    </w:p>
    <w:sectPr>
      <w:headerReference r:id="rId5" w:type="first"/>
      <w:footerReference r:id="rId8" w:type="first"/>
      <w:headerReference r:id="rId3" w:type="default"/>
      <w:footerReference r:id="rId6" w:type="default"/>
      <w:headerReference r:id="rId4" w:type="even"/>
      <w:footerReference r:id="rId7" w:type="even"/>
      <w:pgSz w:w="11906" w:h="16838"/>
      <w:pgMar w:top="2155" w:right="1814" w:bottom="1701" w:left="1814" w:header="851" w:footer="1247"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大标宋简体">
    <w:altName w:val="微软雅黑"/>
    <w:panose1 w:val="03000509000000000000"/>
    <w:charset w:val="86"/>
    <w:family w:val="script"/>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sz w:val="24"/>
        <w:szCs w:val="24"/>
      </w:rPr>
    </w:pPr>
    <w:r>
      <w:rPr>
        <w:rStyle w:val="9"/>
        <w:sz w:val="24"/>
        <w:szCs w:val="24"/>
      </w:rPr>
      <w:fldChar w:fldCharType="begin"/>
    </w:r>
    <w:r>
      <w:rPr>
        <w:rStyle w:val="9"/>
        <w:sz w:val="24"/>
        <w:szCs w:val="24"/>
      </w:rPr>
      <w:instrText xml:space="preserve">PAGE  </w:instrText>
    </w:r>
    <w:r>
      <w:rPr>
        <w:rStyle w:val="9"/>
        <w:sz w:val="24"/>
        <w:szCs w:val="24"/>
      </w:rPr>
      <w:fldChar w:fldCharType="separate"/>
    </w:r>
    <w:r>
      <w:rPr>
        <w:rStyle w:val="9"/>
        <w:sz w:val="24"/>
        <w:szCs w:val="24"/>
      </w:rPr>
      <w:t>9</w:t>
    </w:r>
    <w:r>
      <w:rPr>
        <w:rStyle w:val="9"/>
        <w:sz w:val="24"/>
        <w:szCs w:val="24"/>
      </w:rP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rPr>
        <w:rStyle w:val="9"/>
      </w:rPr>
      <w:fldChar w:fldCharType="begin"/>
    </w:r>
    <w:r>
      <w:rPr>
        <w:rStyle w:val="9"/>
      </w:rPr>
      <w:instrText xml:space="preserve">PAGE  </w:instrText>
    </w:r>
    <w:r>
      <w:rPr>
        <w:rStyle w:val="9"/>
      </w:rPr>
      <w:fldChar w:fldCharType="separate"/>
    </w:r>
    <w:r>
      <w:rPr>
        <w:rStyle w:val="9"/>
      </w:rPr>
      <w:t>9</w:t>
    </w:r>
    <w:r>
      <w:rPr>
        <w:rStyle w:val="9"/>
      </w:rPr>
      <w:fldChar w:fldCharType="end"/>
    </w:r>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E4E906"/>
    <w:multiLevelType w:val="singleLevel"/>
    <w:tmpl w:val="80E4E906"/>
    <w:lvl w:ilvl="0" w:tentative="0">
      <w:start w:val="2"/>
      <w:numFmt w:val="decimal"/>
      <w:suff w:val="nothing"/>
      <w:lvlText w:val="%1、"/>
      <w:lvlJc w:val="left"/>
    </w:lvl>
  </w:abstractNum>
  <w:abstractNum w:abstractNumId="1">
    <w:nsid w:val="F711B8C6"/>
    <w:multiLevelType w:val="singleLevel"/>
    <w:tmpl w:val="F711B8C6"/>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c1MTJmYzUzYTc5MmNjNjIzMDI1ODE2Mzc2Yzc0NzgifQ=="/>
  </w:docVars>
  <w:rsids>
    <w:rsidRoot w:val="000067C3"/>
    <w:rsid w:val="000067C3"/>
    <w:rsid w:val="0027780B"/>
    <w:rsid w:val="00321BD2"/>
    <w:rsid w:val="0040006A"/>
    <w:rsid w:val="004B75D0"/>
    <w:rsid w:val="00517980"/>
    <w:rsid w:val="0062589E"/>
    <w:rsid w:val="00641DC1"/>
    <w:rsid w:val="00B850FD"/>
    <w:rsid w:val="00C003DA"/>
    <w:rsid w:val="00EB4975"/>
    <w:rsid w:val="00F16C6C"/>
    <w:rsid w:val="03261624"/>
    <w:rsid w:val="041321B2"/>
    <w:rsid w:val="054A5DAD"/>
    <w:rsid w:val="05C25634"/>
    <w:rsid w:val="07870030"/>
    <w:rsid w:val="0E467068"/>
    <w:rsid w:val="0E9644C4"/>
    <w:rsid w:val="134C4F80"/>
    <w:rsid w:val="192B401B"/>
    <w:rsid w:val="2037557B"/>
    <w:rsid w:val="20384A18"/>
    <w:rsid w:val="23C46F94"/>
    <w:rsid w:val="28890DFD"/>
    <w:rsid w:val="2C424529"/>
    <w:rsid w:val="2CCB0FF8"/>
    <w:rsid w:val="2F180E60"/>
    <w:rsid w:val="33900270"/>
    <w:rsid w:val="3D78151C"/>
    <w:rsid w:val="44F22B38"/>
    <w:rsid w:val="46237BD6"/>
    <w:rsid w:val="466F37B8"/>
    <w:rsid w:val="4B1D5E41"/>
    <w:rsid w:val="4C834AF7"/>
    <w:rsid w:val="50131BB5"/>
    <w:rsid w:val="518562A4"/>
    <w:rsid w:val="51EF08F9"/>
    <w:rsid w:val="523819C6"/>
    <w:rsid w:val="52780D60"/>
    <w:rsid w:val="5AE658DB"/>
    <w:rsid w:val="6D314CB6"/>
    <w:rsid w:val="7B8E31A5"/>
    <w:rsid w:val="7D2A6B20"/>
    <w:rsid w:val="7ECB7A79"/>
    <w:rsid w:val="7FCF051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99"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index 5"/>
    <w:basedOn w:val="1"/>
    <w:next w:val="1"/>
    <w:semiHidden/>
    <w:qFormat/>
    <w:uiPriority w:val="99"/>
    <w:pPr>
      <w:ind w:left="1680" w:firstLine="200" w:firstLineChars="200"/>
    </w:pPr>
    <w:rPr>
      <w:rFonts w:ascii="仿宋_GB2312" w:hAnsi="Times New Roman" w:eastAsia="仿宋_GB2312" w:cs="仿宋_GB2312"/>
      <w:sz w:val="32"/>
      <w:szCs w:val="32"/>
    </w:rPr>
  </w:style>
  <w:style w:type="paragraph" w:styleId="3">
    <w:name w:val="Balloon Text"/>
    <w:basedOn w:val="1"/>
    <w:semiHidden/>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styleId="9">
    <w:name w:val="page number"/>
    <w:basedOn w:val="8"/>
    <w:qFormat/>
    <w:uiPriority w:val="0"/>
  </w:style>
  <w:style w:type="paragraph" w:customStyle="1" w:styleId="10">
    <w:name w:val="List Paragraph"/>
    <w:basedOn w:val="1"/>
    <w:qFormat/>
    <w:uiPriority w:val="0"/>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 China</Company>
  <Pages>6</Pages>
  <Words>2451</Words>
  <Characters>2529</Characters>
  <Lines>4</Lines>
  <Paragraphs>1</Paragraphs>
  <TotalTime>0</TotalTime>
  <ScaleCrop>false</ScaleCrop>
  <LinksUpToDate>false</LinksUpToDate>
  <CharactersWithSpaces>2529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2016-06-06T08:28:00Z</dcterms:created>
  <dc:creator>User</dc:creator>
  <cp:lastModifiedBy>Administrator</cp:lastModifiedBy>
  <cp:lastPrinted>2023-03-30T07:27:00Z</cp:lastPrinted>
  <dcterms:modified xsi:type="dcterms:W3CDTF">2023-08-18T02:52:41Z</dcterms:modified>
  <dc:title>附件2:       </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SaveFontToCloudKey">
    <vt:lpwstr>1009670429_btnclosed</vt:lpwstr>
  </property>
  <property fmtid="{D5CDD505-2E9C-101B-9397-08002B2CF9AE}" pid="3" name="KSOProductBuildVer">
    <vt:lpwstr>2052-11.1.0.14309</vt:lpwstr>
  </property>
  <property fmtid="{D5CDD505-2E9C-101B-9397-08002B2CF9AE}" pid="4" name="ICV">
    <vt:lpwstr>C318DF9B45DF4FBCB7B79D962E9B88B3</vt:lpwstr>
  </property>
</Properties>
</file>